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天津市交通（集团）有限公司（本级）</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天津市交通（集团）有限公司（本级）为天津市交通（集团）有限公司总部，目前享受改制前离退休人员财政拨款</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天津市交通（集团）有限公司（本级）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天津市交通（集团）有限公司（本级）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天津市交通（集团）有限公司（本级）</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1659430.98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1890000.00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1659430.98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1659430.98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541768.58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541768.58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行政单位离退休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541768.58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541768.58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1890000.00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1890000.00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1890000.00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1890000.00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290100.00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290100.00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1599900.00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1599900.00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天津市交通（集团）有限公司（本级）</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3549430.98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3549430.98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3549430.98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709901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天津市交通（集团）有限公司（本级）</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3549430.98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3549430.98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3549430.98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天津市交通（集团）有限公司（本级）</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709901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天津市交通（集团）有限公司（本级）</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3549430.98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2431768.58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1659430.98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行政单位离退休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1599900.00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1599900.00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1659430.98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1659430.98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1890000.00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1890000.00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3549430.98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天津市交通（集团）有限公司（本级）</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3549430.98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2431768.58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2422768.58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1659430.98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532768.58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532768.58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行政单位离退休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532768.58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1599900.00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1599900.00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1599900.00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2422768.58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268100.00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264668.58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1890000.00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2422768.58</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天津市交通（集团）有限公司（本级）2025年度政府性基金预算财政拨款收入支出决算表为空表。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天津市交通（集团）有限公司（本级）2025年度国有资本经营预算财政拨款收入支出决算表为空表。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天津市交通（集团）有限公司（本级）2025年财政拨款“三公”经费支出决算表为空表。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天津市交通（集团）有限公司（本级）</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1117662.40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1117662.40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老干部死亡抚恤金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554658.00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554658.00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老干部死亡抚恤金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548004.40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548004.40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离休干部一次性补助</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3,549,430.98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增加901,428.51元，增长34.04%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本级老干部抚恤金项目收支增加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一般公共预算财政拨款收入3,549,430.98元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社会保障和就业支出1,659,430.98元、卫生健康支出1,890,000.00元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天津市交通（集团）有限公司（本级）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3,549,430.98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增加901,428.51元，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本级老干部抚恤金项目收支增加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一般公共预算财政拨款收入3,549,430.98元，占100.00%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天津市交通（集团）有限公司（本级）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3,549,430.98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增加901,428.51元，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本级老干部抚恤金项目收支增加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基本支出2,431,768.58元，占68.51%；项目支出1,117,662.40元，占31.49%</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3,549,430.98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增加901,428.51元，增长34.04%，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本级老干部抚恤金项目收支增加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一般公共预算财政拨款3,549,430.98元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社会保障和就业支出1,659,430.98元、卫生健康支出1,890,000.00元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天津市交通（集团）有限公司（本级）2025年度一般公共预算财政拨款支出合计3,549,430.98元，占本年支出合计的100.00%。与2024年度相比，一般公共预算财政拨款支出</w:t>
      </w:r>
      <w:r>
        <w:rPr>
          <w:rFonts w:eastAsia="仿宋_GB2312" w:hint="eastAsia"/>
          <w:sz w:val="30"/>
          <w:szCs w:val="30"/>
          <w:highlight w:val="none"/>
          <w:lang w:val="en-US" w:eastAsia="zh-CN"/>
        </w:rPr>
        <w:t xml:space="preserve">增加901,428.51元</w:t>
      </w:r>
      <w:r>
        <w:rPr>
          <w:rFonts w:eastAsia="仿宋_GB2312" w:hint="eastAsia"/>
          <w:sz w:val="30"/>
          <w:szCs w:val="30"/>
          <w:highlight w:val="none"/>
          <w:lang w:val="en-US" w:eastAsia="zh-CN"/>
        </w:rPr>
        <w:t xml:space="preserve">，增长34.04%</w:t>
      </w:r>
      <w:r>
        <w:rPr>
          <w:rFonts w:eastAsia="仿宋_GB2312" w:hint="eastAsia"/>
          <w:sz w:val="30"/>
          <w:szCs w:val="30"/>
          <w:highlight w:val="none"/>
          <w:lang w:val="en-US" w:eastAsia="zh-CN"/>
        </w:rPr>
        <w:t xml:space="preserve">，主要原因是本级老干部抚恤金项目收支增加。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2025年度一般公共预算财政拨款支出3,549,430.98元，主要用于以下方面：</w:t>
      </w:r>
      <w:r>
        <w:rPr>
          <w:rFonts w:eastAsia="仿宋_GB2312" w:hint="eastAsia"/>
          <w:sz w:val="30"/>
          <w:szCs w:val="30"/>
          <w:highlight w:val="none"/>
        </w:rPr>
        <w:t xml:space="preserve">社会保障和就业支出（类）支出1,659,430.98元，占46.75%，卫生健康支出（类）支出1,890,000.00元，占53.25%</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2025年度一般公共预算财政拨款支出年初预算为540,000.00元，支出决算为3,549,430.98元</w:t>
      </w:r>
      <w:r>
        <w:rPr>
          <w:rFonts w:eastAsia="仿宋_GB2312" w:hint="eastAsia"/>
          <w:sz w:val="30"/>
          <w:szCs w:val="30"/>
          <w:highlight w:val="none"/>
          <w:lang w:val="en-US" w:eastAsia="zh-CN"/>
        </w:rPr>
        <w:t xml:space="preserve">，完成年初预算的657.30%</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1.社会保障和就业支出（类）行政事业单位养老支出（款）行政单位离退休（项）年初预算为520,000.00元，支出决算为541,768.58元，完成年初预算的104.19%，决算数大于年初预算数的主要原因是：老干部待遇上涨。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其他社会保障和就业支出（款）其他社会保障和就业支出（项）年初预算为0.00元，支出决算为1,117,662.40元，决算数大于年初预算数的主要原因是：本级老干部抚恤金项目收支年中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3.卫生健康支出（类）行政事业单位医疗（款）行政单位医疗（项）年初预算为20,000.00元，支出决算为290,100.00元，完成年初预算的1450.50%，决算数大于年初预算数的主要原因是：年中追加老干部药费。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4.卫生健康支出（类）行政事业单位医疗（款）事业单位医疗（项）年初预算为0.00元，支出决算为1,599,900.00元，决算数大于年初预算数的主要原因是：年中追加老干部药费。</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天津市交通（集团）有限公司（本级）2025年度一般公共预算财政拨款基本支出合计2,431,768.58元，与2024年度相比</w:t>
      </w:r>
      <w:r>
        <w:rPr>
          <w:rFonts w:eastAsia="仿宋_GB2312" w:hint="eastAsia"/>
          <w:sz w:val="30"/>
          <w:szCs w:val="30"/>
          <w:highlight w:val="none"/>
          <w:lang w:val="en-US" w:eastAsia="zh-CN"/>
        </w:rPr>
        <w:t xml:space="preserve">增加120,000.51元，</w:t>
      </w:r>
      <w:r>
        <w:rPr>
          <w:rFonts w:eastAsia="仿宋_GB2312" w:hint="eastAsia"/>
          <w:sz w:val="30"/>
          <w:szCs w:val="30"/>
          <w:highlight w:val="none"/>
          <w:lang w:val="en-US" w:eastAsia="zh-CN"/>
        </w:rPr>
        <w:t xml:space="preserve">主要原因是老干部待遇上涨，机关老干部药费较去年增加。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人员经费2,422,768.58元，主要包括</w:t>
      </w:r>
      <w:r>
        <w:rPr>
          <w:rFonts w:eastAsia="仿宋_GB2312" w:hint="eastAsia"/>
          <w:sz w:val="30"/>
          <w:szCs w:val="30"/>
          <w:highlight w:val="none"/>
          <w:lang w:val="en-US" w:eastAsia="zh-CN"/>
        </w:rPr>
        <w:t xml:space="preserve">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公用经费9,000.00元，主要包括</w:t>
      </w:r>
      <w:r>
        <w:rPr>
          <w:rFonts w:eastAsia="仿宋_GB2312" w:hint="eastAsia"/>
          <w:sz w:val="30"/>
          <w:szCs w:val="30"/>
          <w:highlight w:val="none"/>
          <w:lang w:val="en-US" w:eastAsia="zh-CN"/>
        </w:rPr>
        <w:t xml:space="preserve">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决算数较上年持平的主要原因是本年度与上年度未用财政拨款经费列支“三公”经费。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决算数与预算数持平的主要原因是本年度与上年度未用财政拨款经费列支因公出国（境）费；</w:t>
      </w:r>
      <w:r>
        <w:rPr>
          <w:rFonts w:eastAsia="仿宋_GB2312" w:hint="eastAsia"/>
          <w:sz w:val="30"/>
          <w:szCs w:val="30"/>
          <w:highlight w:val="none"/>
          <w:lang w:val="en-US" w:eastAsia="zh-CN"/>
        </w:rPr>
        <w:t xml:space="preserve">决算数较上年持平的主要原因是本年度与上年度未用财政拨款经费列支因公出国（境）费。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决算数较上年持平的主要原因是本年度与上年度未用财政拨款经费列支公务用车购置及运行维护费。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决算数较上年持平的主要原因是本年度与上年度未用财政拨款经费列支公务用车运行维护费。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决算数较上年持平的主要原因是本年度与上年度未用财政拨款经费列支公务用车购置费。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决算数较上年持平的主要原因是本年度与上年度未用财政拨款经费列支公务接待费。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天津市交通（集团）有限公司（本级）2025年度无国有资产占有使用情况。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根据预算绩效管理要求,天津市交通（集团）有限公司（本级）已对3个2025年度市级项目开展绩效自评,涉及金额1117662.4元,自评结果已随部门决算一并公开。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天津市交通（集团）有限公司（本级）不属于乡、镇、街级单位，不涉及公开2025年度教育、医疗卫生、社会保障和就业、住房保障、涉农补贴等民生支出情况。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C274B4AC-F407-4748-9217-4CD7BF025383}"/>
    <w:embedBold r:id="rId2" w:subsetted="1" w:fontKey="{577D3A15-8B03-4900-871A-B3017B9784BB}"/>
  </w:font>
  <w:font w:name="Cambria">
    <w:panose1 w:val="02040503050406030204"/>
    <w:charset w:val="00"/>
    <w:family w:val="roman"/>
    <w:pitch w:val="default"/>
    <w:sig w:usb0="E00006FF" w:usb1="420024FF" w:usb2="02000000" w:usb3="00000000" w:csb0="2000019F" w:csb1="00000000"/>
    <w:embedRegular r:id="rId3" w:fontKey="{59905A07-C4A8-4C99-8B89-33C588E3325B}"/>
  </w:font>
  <w:font w:name="Calibri">
    <w:panose1 w:val="020F0502020204030204"/>
    <w:charset w:val="00"/>
    <w:family w:val="swiss"/>
    <w:pitch w:val="default"/>
    <w:sig w:usb0="E4002EFF" w:usb1="C200247B" w:usb2="00000009" w:usb3="00000000" w:csb0="200001FF" w:csb1="00000000"/>
    <w:embedRegular r:id="rId4" w:fontKey="{B2D44DEB-D634-4595-861D-BD7258F222E2}"/>
  </w:font>
  <w:font w:name="黑体">
    <w:panose1 w:val="02010609060101010101"/>
    <w:charset w:val="FFFFFF86"/>
    <w:family w:val="auto"/>
    <w:pitch w:val="default"/>
    <w:sig w:usb0="800002BF" w:usb1="38CF7CFA" w:usb2="00000016" w:usb3="00000000" w:csb0="00040001" w:csb1="00000000"/>
    <w:embedRegular r:id="rId5" w:subsetted="1" w:fontKey="{CF2E3BEE-66B4-44AC-8AE6-A0A1DD0315C6}"/>
    <w:embedBold r:id="rId6" w:subsetted="1" w:fontKey="{4EC575B0-7B3F-4DA4-B2F2-D32EE780D910}"/>
  </w:font>
  <w:font w:name="方正小标宋简体">
    <w:altName w:val="黑体"/>
    <w:panose1 w:val="02000000000000000000"/>
    <w:charset w:val="FFFFFF86"/>
    <w:family w:val="auto"/>
    <w:pitch w:val="default"/>
    <w:sig w:usb0="00000001" w:usb1="08000000" w:usb2="00000000" w:usb3="00000000" w:csb0="00040000" w:csb1="00000000"/>
    <w:embedRegular r:id="rId7" w:fontKey="{DD8CDF45-DF1C-4EA4-8785-80CC95F8FBBB}"/>
    <w:embedBold r:id="rId8" w:fontKey="{B28EBD6C-D462-498D-AA8D-FC997DCC8BBA}"/>
  </w:font>
  <w:font w:name="仿宋">
    <w:panose1 w:val="02010609060101010101"/>
    <w:charset w:val="FFFFFF86"/>
    <w:family w:val="auto"/>
    <w:pitch w:val="default"/>
    <w:sig w:usb0="800002BF" w:usb1="38CF7CFA" w:usb2="00000016" w:usb3="00000000" w:csb0="00040001" w:csb1="00000000"/>
    <w:embedRegular r:id="rId9" w:subsetted="1" w:fontKey="{006E2C07-2B46-41AD-8537-D6F9F95DEEC4}"/>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0BC64998-3150-4B29-8053-F2D7F931F5F3}"/>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C8FFA39C-D2D1-41EF-BC49-FCC6AF03E24C}"/>
    <w:embedBold r:id="rId12" w:subsetted="1" w:fontKey="{DE23746B-F058-403E-AC5E-C1E901F272F6}"/>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24</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27</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