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天津市航道工程处</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航道维护性疏浚，航道清障、勘测、整治。河口、海口防汛清淤以及海河搜救抢险、燃油补给、废油水回收等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天津市航道工程处</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天津市航道工程处。</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天津市航道工程处</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19242877.00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4436218.34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3139000.00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1771000.00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18769095.34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23679095.34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23679095.34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23679095.34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23679095.34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23679095.34</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19242877.00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4436218.34</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3139000.00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3139000.00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3139000.00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3139000.00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2093000.00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2093000.00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1771000.00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1771000.00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1771000.00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1771000.00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687000.00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687000.00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交通运输支出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18769095.34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14332877.00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4436218.34</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21401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公路水路运输</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18769095.34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14332877.00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4436218.34</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2140123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18769095.34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14332877.00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4436218.34</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天津市航道工程处</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23679095.34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23679095.34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19242877.00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4436218.34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天津市航道工程处</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19242877.00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4436218.34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天津市航道工程处</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天津市航道工程处</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23679095.34</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23679095.34</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交通运输支出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21401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公路水路运输</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2140123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3139000.00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3139000.00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1771000.00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1771000.00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14332877.00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14332877.00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19242877.00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天津市航道工程处</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19242877.00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19242877.00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18003900.00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交通运输支出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13093900.00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21401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公路水路运输</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13093900.00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2140123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13093900.00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14065900.00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1218979.00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4640900.00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23899.00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19998.00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1226100.00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19998.00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7310.80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2860900.00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90858.44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2093000.00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19452.59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1046000.00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55200.00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687000.00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4701.02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1084000.00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124696.80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3938000.00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3938000.00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319775.00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287085.35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27582.51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77417.49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18003900.00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1238977.00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天津市航道工程处2025年度政府性基金预算财政拨款收入支出决算表为空表。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天津市航道工程处2025年度国有资本经营预算财政拨款收入支出决算表为空表。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天津市航道工程处</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divId w:val="0"/>
        <w:snapToGrid w:val="0"/>
        <w:ind w:left="-960" w:firstLine="0" w:leftChars="-400" w:firstLineChars="0"/>
        <w:rPr>
          <w:rFonts w:ascii="宋体" w:eastAsia="宋体" w:hAnsi="宋体" w:cs="宋体" w:hint="eastAsia"/>
          <w:i w:val="0"/>
          <w:iCs w:val="0"/>
          <w:color w:val="000000"/>
          <w:kern w:val="0.0"/>
          <w:sz w:val="20"/>
          <w:szCs w:val="20"/>
          <w:highlight w:val="none"/>
          <w:u w:val="none"/>
          <w:lang w:val="en-US" w:eastAsia="zh-CN"/>
        </w:r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r>
        <w:rPr>
          <w:rFonts w:ascii="宋体" w:eastAsia="宋体" w:hAnsi="宋体" w:cs="宋体" w:hint="eastAsia"/>
          <w:i w:val="0"/>
          <w:iCs w:val="0"/>
          <w:color w:val="000000"/>
          <w:kern w:val="0.0"/>
          <w:sz w:val="20"/>
          <w:szCs w:val="20"/>
          <w:highlight w:val="none"/>
          <w:u w:val="none"/>
          <w:lang w:val="en-US" w:eastAsia="zh-CN"/>
        </w:rPr>
        <w:t xml:space="preserve">天津市航道工程处2025年项目支出决算表为空表。</w:t>
      </w: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23,679,095.34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增加872,776.37元，增长3.83%</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扩大了经营范围，单位事业收入增加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一般公共预算财政拨款收入19,242,877.00元、事业收入4,436,218.34元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社会保障和就业支出3,139,000.00元、卫生健康支出1,771,000.00元、交通运输支出18,769,095.34元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天津市航道工程处</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23,679,095.34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增加872,776.37元，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扩大了经营范围，单位事业收入增加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一般公共预算财政拨款收入19,242,877.00元，占81.27%；事业收入4,436,218.34元，占18.73%</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天津市航道工程处</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23,679,095.34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增加872,776.37元，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扩大了经营范围，单位事业收入增加。人员调整，年中追加经费</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基本支出23,679,095.34元，占100.00%</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19,242,877.00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增加355,060.03元，增长1.88%，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人员调整，年中追加经费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一般公共预算财政拨款19,242,877.00元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社会保障和就业支出3,139,000.00元、卫生健康支出1,771,000.00元、交通运输支出14,332,877.00元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天津市航道工程处2025年度一般公共预算财政拨款支出合计19,242,877.00元，占本年支出合计的81.27%。与2024年度相比，一般公共预算财政拨款支出</w:t>
      </w:r>
      <w:r>
        <w:rPr>
          <w:rFonts w:eastAsia="仿宋_GB2312" w:hint="eastAsia"/>
          <w:sz w:val="30"/>
          <w:szCs w:val="30"/>
          <w:highlight w:val="none"/>
          <w:lang w:val="en-US" w:eastAsia="zh-CN"/>
        </w:rPr>
        <w:t xml:space="preserve">增加355,060.03元</w:t>
      </w:r>
      <w:r>
        <w:rPr>
          <w:rFonts w:eastAsia="仿宋_GB2312" w:hint="eastAsia"/>
          <w:sz w:val="30"/>
          <w:szCs w:val="30"/>
          <w:highlight w:val="none"/>
          <w:lang w:val="en-US" w:eastAsia="zh-CN"/>
        </w:rPr>
        <w:t xml:space="preserve">，增长1.88%</w:t>
      </w:r>
      <w:r>
        <w:rPr>
          <w:rFonts w:eastAsia="仿宋_GB2312" w:hint="eastAsia"/>
          <w:sz w:val="30"/>
          <w:szCs w:val="30"/>
          <w:highlight w:val="none"/>
          <w:lang w:val="en-US" w:eastAsia="zh-CN"/>
        </w:rPr>
        <w:t xml:space="preserve">，主要原因是人员调整，年中追加经费。</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2025年度一般公共预算财政拨款支出19,242,877.00元，主要用于以下方面：</w:t>
      </w:r>
      <w:r>
        <w:rPr>
          <w:rFonts w:eastAsia="仿宋_GB2312" w:hint="eastAsia"/>
          <w:sz w:val="30"/>
          <w:szCs w:val="30"/>
          <w:highlight w:val="none"/>
        </w:rPr>
        <w:t xml:space="preserve">社会保障和就业支出（类）支出3,139,000.00元，占16.31%，卫生健康支出（类）支出1,771,000.00元，占9.20%，交通运输支出（类）支出14,332,877.00元，占74.48%</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2025年度一般公共预算财政拨款支出年初预算为18,689,000.00元，支出决算为19,242,877.00元</w:t>
      </w:r>
      <w:r>
        <w:rPr>
          <w:rFonts w:eastAsia="仿宋_GB2312" w:hint="eastAsia"/>
          <w:sz w:val="30"/>
          <w:szCs w:val="30"/>
          <w:highlight w:val="none"/>
          <w:lang w:val="en-US" w:eastAsia="zh-CN"/>
        </w:rPr>
        <w:t xml:space="preserve">，完成年初预算的102.96%</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机关事业单位基本养老保险缴费支出（项）年初预算为2,093,000.00元，支出决算为2,093,000.00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职业年金缴费支出（项）年初预算为1,046,000.00元，支出决算为1,046,000.00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3.卫生健康支出（类）行政事业单位医疗（款）事业单位医疗（项）年初预算为687,000.00元，支出决算为687,000.00元，完成年初预算的100.00%，决算数与年初预算数持平的主要原因是：严格按照预算执行。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其他行政事业单位医疗支出（项）年初预算为1,084,000.00元，支出决算为1,084,000.00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5.交通运输支出（类）公路水路运输（款）航道维护（项）年初预算为13,779,000.00元，支出决算为14,332,877.00元，完成年初预算的104.02%，决算数大于年初预算数的主要原因是：人员调整，年中追加经费。</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天津市航道工程处2025年度一般公共预算财政拨款基本支出合计19,242,877.00元，与2024年度相比</w:t>
      </w:r>
      <w:r>
        <w:rPr>
          <w:rFonts w:eastAsia="仿宋_GB2312" w:hint="eastAsia"/>
          <w:sz w:val="30"/>
          <w:szCs w:val="30"/>
          <w:highlight w:val="none"/>
          <w:lang w:val="en-US" w:eastAsia="zh-CN"/>
        </w:rPr>
        <w:t xml:space="preserve">增加355,060.03元，</w:t>
      </w:r>
      <w:r>
        <w:rPr>
          <w:rFonts w:eastAsia="仿宋_GB2312" w:hint="eastAsia"/>
          <w:sz w:val="30"/>
          <w:szCs w:val="30"/>
          <w:highlight w:val="none"/>
          <w:lang w:val="en-US" w:eastAsia="zh-CN"/>
        </w:rPr>
        <w:t xml:space="preserve">主要原因是人员调整，年中追加经费。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人员经费18,003,900.00元，主要包括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基本工资、津贴补贴、绩效工资、机关事业单位基本养老保险缴费、职业年金缴费、职工基本医疗保险缴费、医疗费、其他工资福利支出、退休费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公用经费1,238,977.00元，主要包括</w:t>
      </w:r>
      <w:r>
        <w:rPr>
          <w:rFonts w:eastAsia="仿宋_GB2312" w:hint="eastAsia"/>
          <w:sz w:val="30"/>
          <w:szCs w:val="30"/>
          <w:highlight w:val="none"/>
          <w:lang w:val="en-US" w:eastAsia="zh-CN"/>
        </w:rPr>
        <w:t xml:space="preserve">办公费、水费、电费、邮电费、取暖费、物业管理费、维修(护)费、租赁费、专用材料费、工会经费、福利费、公务用车运行维护费、税金及附加费用、其他商品和服务支出、办公设备购置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决算数与预算数持平的主要原因是厉行节约，严格按预算执行，合理安排“三公”经费；</w:t>
      </w:r>
      <w:r>
        <w:rPr>
          <w:rFonts w:eastAsia="仿宋_GB2312" w:hint="eastAsia"/>
          <w:sz w:val="30"/>
          <w:szCs w:val="30"/>
          <w:highlight w:val="none"/>
          <w:lang w:val="en-US" w:eastAsia="zh-CN"/>
        </w:rPr>
        <w:t xml:space="preserve">决算数较上年持平的主要原因是厉行节约，严格按预算执行，合理安排“三公”经费。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决算数与预算数持平的主要原因是厉行节约，严格按预算执行，合理安排“三公”经费；</w:t>
      </w:r>
      <w:r>
        <w:rPr>
          <w:rFonts w:eastAsia="仿宋_GB2312" w:hint="eastAsia"/>
          <w:sz w:val="30"/>
          <w:szCs w:val="30"/>
          <w:highlight w:val="none"/>
          <w:lang w:val="en-US" w:eastAsia="zh-CN"/>
        </w:rPr>
        <w:t xml:space="preserve">决算数较上年持平的主要原因是厉行节约，严格按预算执行，合理安排“三公”经费。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决算数与预算数持平的主要原因是厉行节约，严格按预算执行，合理安排“三公”经费；</w:t>
      </w:r>
      <w:r>
        <w:rPr>
          <w:rFonts w:eastAsia="仿宋_GB2312" w:hint="eastAsia"/>
          <w:sz w:val="30"/>
          <w:szCs w:val="30"/>
          <w:highlight w:val="none"/>
          <w:lang w:val="en-US" w:eastAsia="zh-CN"/>
        </w:rPr>
        <w:t xml:space="preserve">决算数较上年持平的主要原因是厉行节约，严格按预算执行，合理安排“三公”经费。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航道工程处2025年政府采购支出总额29,977.00元，其中：政府采购货物支出29,977.00元、政府采购工程支出0.00元、政府采购服务支出0.00元。授予中小企业合同金额0.00元，占政府采购支出总额的0.00%，其中：授予小微企业合同金额0.00元，占政府采购支出总额的0.00%；货物采购授予中小企业合同金额占货物支出金额的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截至2025年12月31日，天津市航道工程处共有车辆16辆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其他用车16辆</w:t>
      </w:r>
      <w:r>
        <w:rPr>
          <w:rFonts w:eastAsia="仿宋_GB2312" w:hint="eastAsia"/>
          <w:sz w:val="30"/>
          <w:szCs w:val="30"/>
          <w:highlight w:val="none"/>
          <w:lang w:val="en-US" w:eastAsia="zh-CN"/>
        </w:rPr>
        <w:t xml:space="preserve">，其他用车主要包括公务用车、生产用车</w:t>
      </w:r>
      <w:r>
        <w:rPr>
          <w:rFonts w:eastAsia="仿宋_GB2312" w:hint="eastAsia"/>
          <w:sz w:val="30"/>
          <w:szCs w:val="30"/>
          <w:highlight w:val="none"/>
          <w:lang w:val="en-US" w:eastAsia="zh-CN"/>
        </w:rPr>
        <w:t xml:space="preserve">。单价100万元以上的设备0台（套）。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天津市航道工程处2025年度没有项目支出，无需开展绩效自评。</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天津市航道工程处不属于乡、镇、街级单位，不涉及公开2025年度教育、医疗卫生、社会保障和就业、住房保障、涉农补贴等民生支出情况。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EF774E67-8724-4B50-BA59-1BDFB74FA32D}"/>
    <w:embedBold r:id="rId2" w:subsetted="1" w:fontKey="{07451FEF-B030-450E-A7D1-A944D14EB3F7}"/>
  </w:font>
  <w:font w:name="Cambria">
    <w:panose1 w:val="02040503050406030204"/>
    <w:charset w:val="00"/>
    <w:family w:val="roman"/>
    <w:pitch w:val="default"/>
    <w:sig w:usb0="E00006FF" w:usb1="420024FF" w:usb2="02000000" w:usb3="00000000" w:csb0="2000019F" w:csb1="00000000"/>
    <w:embedRegular r:id="rId3" w:fontKey="{8F6AC259-E239-48F2-B4D0-CC57431551AC}"/>
  </w:font>
  <w:font w:name="Calibri">
    <w:panose1 w:val="020F0502020204030204"/>
    <w:charset w:val="00"/>
    <w:family w:val="swiss"/>
    <w:pitch w:val="default"/>
    <w:sig w:usb0="E4002EFF" w:usb1="C200247B" w:usb2="00000009" w:usb3="00000000" w:csb0="200001FF" w:csb1="00000000"/>
    <w:embedRegular r:id="rId4" w:fontKey="{7B5CD952-41E2-4BE5-99FC-FA7F9F192FAA}"/>
  </w:font>
  <w:font w:name="黑体">
    <w:panose1 w:val="02010609060101010101"/>
    <w:charset w:val="FFFFFF86"/>
    <w:family w:val="auto"/>
    <w:pitch w:val="default"/>
    <w:sig w:usb0="800002BF" w:usb1="38CF7CFA" w:usb2="00000016" w:usb3="00000000" w:csb0="00040001" w:csb1="00000000"/>
    <w:embedRegular r:id="rId5" w:subsetted="1" w:fontKey="{D8FC9FFA-242B-40B9-BA64-5CA493D8CF6C}"/>
    <w:embedBold r:id="rId6" w:subsetted="1" w:fontKey="{3BCACBD1-14ED-4E61-8734-3E0D863673B4}"/>
  </w:font>
  <w:font w:name="方正小标宋简体">
    <w:altName w:val="黑体"/>
    <w:panose1 w:val="02000000000000000000"/>
    <w:charset w:val="FFFFFF86"/>
    <w:family w:val="auto"/>
    <w:pitch w:val="default"/>
    <w:sig w:usb0="00000001" w:usb1="08000000" w:usb2="00000000" w:usb3="00000000" w:csb0="00040000" w:csb1="00000000"/>
    <w:embedRegular r:id="rId7" w:fontKey="{98E3E461-92BC-42ED-B4C0-529D54E16452}"/>
    <w:embedBold r:id="rId8" w:fontKey="{01B03ABF-268A-4F95-9A30-4885FDBCC83C}"/>
  </w:font>
  <w:font w:name="仿宋">
    <w:panose1 w:val="02010609060101010101"/>
    <w:charset w:val="FFFFFF86"/>
    <w:family w:val="auto"/>
    <w:pitch w:val="default"/>
    <w:sig w:usb0="800002BF" w:usb1="38CF7CFA" w:usb2="00000016" w:usb3="00000000" w:csb0="00040001" w:csb1="00000000"/>
    <w:embedRegular r:id="rId9" w:subsetted="1" w:fontKey="{E7C39A37-53D9-4FA4-BC27-FBC5CFCA9C09}"/>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E8CFE27B-FB44-4741-AFAD-0F7ACC434923}"/>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4AD7F697-6CFC-40FD-857B-1BCB9C0AD347}"/>
    <w:embedBold r:id="rId12" w:subsetted="1" w:fontKey="{2C5A2364-5D0F-47C1-A168-607ED7673240}"/>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25</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28</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