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天津市交通教育培训中心</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天津市交通教育培训中心</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负责教育教学理论、 职业教学研究、开发、培训、咨询服务，相关学历教育、继续教育、教学培训、学术交流等项业务。目前从事的业务有：道路运输从业资格危险品运输及押运员初领证培训；内河船员培训；机关事业单位驾驶员培训、会计继续教育培训、工程类职称培训及安全标准化考评工作</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天津市交通教育培训中心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天津市交通教育培训中心</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天津市交通教育培训中心</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2558528.28</w:t>
            </w: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2909162.23</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108659.96</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188000.00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1710278.61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4619440.84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2855188.24</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1215427.69</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-558080.40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-9255.49</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-558080.40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4061360.44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4061360.44</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天津市交通教育培训中心</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4619440.84</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2909162.23</w:t>
            </w: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1710278.61</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教育支出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4322780.88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2612502.27</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1710278.61</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职业教育</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4322780.88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2612502.27</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1710278.61</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2050399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其他职业教育支出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4322780.88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2612502.27</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1710278.61</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108659.96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108659.96</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108659.96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108659.96</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108659.96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108659.96</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188000.00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188000.00</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188000.00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188000.00</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188000.00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188000.00</w:t>
            </w: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天津市交通教育培训中心</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4061360.44</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4619440.84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2909162.23</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1710278.61</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709704</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天津市交通教育培训中心</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4061360.44</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4619440.84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2909162.23</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1710278.61</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天津市交通教育培训中心</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-558080.40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-558080.40</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-558080.40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709704</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天津市交通教育培训中心</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-558080.40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-558080.40</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-558080.40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天津市交通教育培训中心</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2855188.24</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494850.92</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2360337.32</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教育支出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2558528.28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494850.92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2063677.36</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职业教育</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2558528.28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494850.92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2063677.36</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2050399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其他职业教育支出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2558528.28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494850.92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2063677.36</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108659.96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108659.96</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108659.96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108659.96</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108659.96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108659.96</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188000.00</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188000.00</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188000.00</w:t>
            </w: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天津市交通教育培训中心</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普通(网站)"/>
        <w:keepNext w:val="0"/>
        <w:keepLines w:val="0"/>
        <w:widowControl/>
        <w:suppressLineNumbers w:val="0"/>
        <w:snapToGrid w:val="0"/>
        <w:spacing w:before="60" w:beforeAutospacing="0" w:after="60" w:afterAutospacing="0"/>
        <w:ind w:left="-960" w:right="0" w:firstLine="0" w:leftChars="-400" w:rightChars="0" w:firstLineChars="0"/>
        <w:jc w:val="lef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天津市交通教育培训中心2025年度财政拨款收入支出决算总表为空表。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天津市交通教育培训中心</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天津市交通教育培训中心2025年度一般公共预算财政拨款支出决算表为空表。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天津市交通教育培训中心</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普通(网站)"/>
        <w:keepNext w:val="0"/>
        <w:keepLines w:val="0"/>
        <w:widowControl/>
        <w:suppressLineNumbers w:val="0"/>
        <w:snapToGrid w:val="0"/>
        <w:spacing w:before="60" w:beforeAutospacing="0" w:after="60" w:afterAutospacing="0"/>
        <w:ind w:left="-960" w:right="0" w:firstLine="0" w:leftChars="-40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天津市交通教育培训中心2025年度一般公共预算财政拨款基本支出决算表为空表。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天津市交通教育培训中心</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天津市交通教育培训中心2025年度政府性基金预算财政拨款收入支出决算表为空表。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天津市交通教育培训中心</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天津市交通教育培训中心2025年度国有资本经营预算财政拨款收入支出决算表为空表。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天津市交通教育培训中心</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天津市交通教育培训中心2025年财政拨款“三公”经费支出决算表为空表。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天津市交通教育培训中心</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divId w:val="0"/>
        <w:snapToGrid w:val="0"/>
        <w:ind w:left="-960" w:firstLine="0" w:leftChars="-400" w:firstLineChars="0"/>
        <w:rPr>
          <w:rFonts w:ascii="宋体" w:eastAsia="宋体" w:hAnsi="宋体" w:cs="宋体" w:hint="eastAsia"/>
          <w:i w:val="0"/>
          <w:iCs w:val="0"/>
          <w:color w:val="000000"/>
          <w:kern w:val="0.0"/>
          <w:sz w:val="20"/>
          <w:szCs w:val="20"/>
          <w:highlight w:val="none"/>
          <w:u w:val="none"/>
          <w:lang w:val="en-US" w:eastAsia="zh-CN"/>
        </w:r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r>
        <w:rPr>
          <w:rFonts w:ascii="宋体" w:eastAsia="宋体" w:hAnsi="宋体" w:cs="宋体" w:hint="eastAsia"/>
          <w:i w:val="0"/>
          <w:iCs w:val="0"/>
          <w:color w:val="000000"/>
          <w:kern w:val="0.0"/>
          <w:sz w:val="20"/>
          <w:szCs w:val="20"/>
          <w:highlight w:val="none"/>
          <w:u w:val="none"/>
          <w:lang w:val="en-US" w:eastAsia="zh-CN"/>
        </w:rPr>
        <w:t xml:space="preserve">天津市交通教育培训中心2025年项目支出决算表为空表。</w:t>
      </w: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天津市交通教育培训中心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4,061,360.44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增加1,366,168.79元，增长50.69%</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生产经营型事业单位业务增多</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事业单位经营收入2,909,162.23元、其他收入1,710,278.61元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教育支出2,558,528.28元、社会保障和就业支出108,659.96元、卫生健康支出188,000.00元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天津市交通教育培训中心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4,619,440.84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增加1,326,183.83元，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生产经营型事业单位业务增多</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事业单位经营收入2,909,162.23元，占62.98%；其他收入1,710,278.61元，占37.02%</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天津市交通教育培训中心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2,855,188.24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减少398,083.81元，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压缩不必要开支</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基本支出494,850.92元，占17.33%；经营支出2,360,337.32元，占82.67%</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天津市交通教育培训中心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增加0.00元，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本单位无财政拨款</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天津市交通教育培训中心2025年度无一般公共预算财政拨款收入、支出和结转结余。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pPr>
      <w:r>
        <w:rPr>
          <w:rFonts w:eastAsia="仿宋_GB2312" w:hint="eastAsia"/>
          <w:sz w:val="30"/>
          <w:szCs w:val="30"/>
          <w:highlight w:val="none"/>
          <w:lang w:val="en-US" w:eastAsia="zh-CN"/>
        </w:rPr>
        <w:t xml:space="preserve">天津市交通教育培训中心2025年度无一般公共预算财政拨款基本支出。</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天津市交通教育培训中心2025年度无政府性基金预算财政拨款收入、支出和结转结余。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天津市交通教育培训中心2025年度无国有资本经营预算财政拨款收入、支出和结转结余。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决算数与预算数持平的主要原因是本单位无财政拨款；</w:t>
      </w:r>
      <w:r>
        <w:rPr>
          <w:rFonts w:eastAsia="仿宋_GB2312" w:hint="eastAsia"/>
          <w:sz w:val="30"/>
          <w:szCs w:val="30"/>
          <w:highlight w:val="none"/>
          <w:lang w:val="en-US" w:eastAsia="zh-CN"/>
        </w:rPr>
        <w:t xml:space="preserve">决算数较上年持平的主要原因是本单位无财政拨款。</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决算数与预算数持平的主要原因是本年度未用财政拨款经费列支公务用车购置及运行维护费；</w:t>
      </w:r>
      <w:r>
        <w:rPr>
          <w:rFonts w:eastAsia="仿宋_GB2312" w:hint="eastAsia"/>
          <w:sz w:val="30"/>
          <w:szCs w:val="30"/>
          <w:highlight w:val="none"/>
          <w:lang w:val="en-US" w:eastAsia="zh-CN"/>
        </w:rPr>
        <w:t xml:space="preserve">决算数较上年持平的主要原因是本年度未用财政拨款经费列支公务用车购置及运行维护费。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天津市交通教育培训中心2025年度无机关运行经费。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天津市交通教育培训中心2025年度无政府采购支出。</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截至2025年12月31日，天津市交通教育培训中心共有车辆3辆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其他用车3辆</w:t>
      </w:r>
      <w:r>
        <w:rPr>
          <w:rFonts w:eastAsia="仿宋_GB2312" w:hint="eastAsia"/>
          <w:sz w:val="30"/>
          <w:szCs w:val="30"/>
          <w:highlight w:val="none"/>
          <w:lang w:val="en-US" w:eastAsia="zh-CN"/>
        </w:rPr>
        <w:t xml:space="preserve">，其他用车主要包括公务用车</w:t>
      </w:r>
      <w:r>
        <w:rPr>
          <w:rFonts w:eastAsia="仿宋_GB2312" w:hint="eastAsia"/>
          <w:sz w:val="30"/>
          <w:szCs w:val="30"/>
          <w:highlight w:val="none"/>
          <w:lang w:val="en-US" w:eastAsia="zh-CN"/>
        </w:rPr>
        <w:t xml:space="preserve">。单价100万元以上的设备0台（套）。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天津市交通教育培训中心2025年度没有项目支出，无需开展绩效自评</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天津市交通教育培训中心不属于乡、镇、街级单位，不涉及公开2025年度教育、医疗卫生、社会保障和就业、住房保障、涉农补贴等民生支出情况。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716823C7-E13F-4A14-BD14-D68A4032C63D}"/>
    <w:embedBold r:id="rId2" w:subsetted="1" w:fontKey="{69019654-00CE-4D23-AAA2-02978D61BDCF}"/>
  </w:font>
  <w:font w:name="Cambria">
    <w:panose1 w:val="02040503050406030204"/>
    <w:charset w:val="00"/>
    <w:family w:val="roman"/>
    <w:pitch w:val="default"/>
    <w:sig w:usb0="E00006FF" w:usb1="420024FF" w:usb2="02000000" w:usb3="00000000" w:csb0="2000019F" w:csb1="00000000"/>
    <w:embedRegular r:id="rId3" w:fontKey="{F4D6D226-4002-4431-BF46-A9583260A805}"/>
  </w:font>
  <w:font w:name="Calibri">
    <w:panose1 w:val="020F0502020204030204"/>
    <w:charset w:val="00"/>
    <w:family w:val="swiss"/>
    <w:pitch w:val="default"/>
    <w:sig w:usb0="E4002EFF" w:usb1="C200247B" w:usb2="00000009" w:usb3="00000000" w:csb0="200001FF" w:csb1="00000000"/>
    <w:embedRegular r:id="rId4" w:fontKey="{731FA5CA-ED91-4DBD-9AA7-18CD356D0EA1}"/>
  </w:font>
  <w:font w:name="黑体">
    <w:panose1 w:val="02010609060101010101"/>
    <w:charset w:val="FFFFFF86"/>
    <w:family w:val="auto"/>
    <w:pitch w:val="default"/>
    <w:sig w:usb0="800002BF" w:usb1="38CF7CFA" w:usb2="00000016" w:usb3="00000000" w:csb0="00040001" w:csb1="00000000"/>
    <w:embedRegular r:id="rId5" w:subsetted="1" w:fontKey="{2E165098-FF03-442C-AA89-5C6E0F10BA2B}"/>
    <w:embedBold r:id="rId6" w:subsetted="1" w:fontKey="{3E61F494-E6EF-4531-8EC4-602D808D65FE}"/>
  </w:font>
  <w:font w:name="方正小标宋简体">
    <w:altName w:val="黑体"/>
    <w:panose1 w:val="02000000000000000000"/>
    <w:charset w:val="FFFFFF86"/>
    <w:family w:val="auto"/>
    <w:pitch w:val="default"/>
    <w:sig w:usb0="00000001" w:usb1="08000000" w:usb2="00000000" w:usb3="00000000" w:csb0="00040000" w:csb1="00000000"/>
    <w:embedRegular r:id="rId7" w:fontKey="{95BB49DD-EA31-4670-9416-20B907D6A8BB}"/>
    <w:embedBold r:id="rId8" w:fontKey="{A1D0D861-5006-4E80-B60B-766ADEA1DAC3}"/>
  </w:font>
  <w:font w:name="仿宋">
    <w:panose1 w:val="02010609060101010101"/>
    <w:charset w:val="FFFFFF86"/>
    <w:family w:val="auto"/>
    <w:pitch w:val="default"/>
    <w:sig w:usb0="800002BF" w:usb1="38CF7CFA" w:usb2="00000016" w:usb3="00000000" w:csb0="00040001" w:csb1="00000000"/>
    <w:embedRegular r:id="rId9" w:subsetted="1" w:fontKey="{4C0DD19E-3ED0-4339-9227-0357750E9404}"/>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17479C7B-1407-4991-9420-17C01E23C835}"/>
  </w:font>
  <w:font w:name="方正楷体_GB2312">
    <w:altName w:val="宋体"/>
    <w:panose1 w:val="02000000000000000000"/>
    <w:charset w:val="FFFFFF86"/>
    <w:family w:val="auto"/>
    <w:pitch w:val="default"/>
    <w:sig w:usb0="A00002BF" w:usb1="184F6CFA" w:usb2="00000012" w:usb3="00000000" w:csb0="00040001" w:csb1="00000000"/>
    <w:embedRegular r:id="rId11" w:fontKey="{2C36F610-9D9F-4531-9973-C013D052D0B4}"/>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Bold r:id="rId12" w:subsetted="1" w:fontKey="{3D26BE81-8C33-45B3-AD34-9380E3E7F22E}"/>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6</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17</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22</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25</Pages>
  <Words>11720</Words>
  <Characters>62073</Characters>
  <Application>WPS Office_12.1.0.28043_F1E327BC-269C-435d-A152-05C5408002CA</Application>
  <DocSecurity>0</DocSecurity>
  <Lines>60</Lines>
  <Paragraphs>16</Paragraphs>
  <ScaleCrop>false</ScaleCrop>
  <Company>Microsoft</Company>
  <LinksUpToDate>false</LinksUpToDate>
  <CharactersWithSpaces>63178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