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天津市交通（集团）有限公司</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交通（集团）有限公司（以下简称交通集团）正式成立于2004年12月10日，是经中共天津市委、天津市人民政府批准，由天津市交通局改制成立的大型综合性交通运输企业集团。交通集团主要从事公路旅客运输、现代仓储物流、汽车销售与维修检测、大宗商贸、交通职业教育与培训、航道疏浚和交通建筑设计等经营项目。多年来一直承担着国家和天津市重点建设项目、物资和人民生活必需品的运输任务，具有从事涵盖公路交通运输行业各种项目的强大实力。近年来，交通集团加快经营结构调整，优化产业布局，优化资源配置，努力提升核心竞争力，在经营业态上初步形成了现代物流、公路客运、交通服务、多元经营四大优势产业集群</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天津市交通（集团）有限公司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部门本级（内设15个职能部室）和2个所属预算单位（不含本级），具体构成如下：</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1.天津市交通（集团）有限公司（本级）</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2.天津市航道工程处</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3.天津市交通教育培训中心</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天津市交通（集团）有限公司</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22792307.98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2558528.28</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4436218.34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2909162.23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4907090.94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3849000.00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1710278.61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18769095.34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31847967.16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30083714.56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1215427.69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-558080.40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-9255.49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-558080.40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31289886.76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31289886.76</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31847967.16</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22792307.98</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4436218.34</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2909162.23</w:t>
            </w: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1710278.61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4322780.88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2612502.27</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1710278.61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4322780.88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2612502.27</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1710278.61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其他职业教育支出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4322780.88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2612502.27</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1710278.61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4907090.94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4798430.98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3789428.54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3680768.58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行政单位离退休</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541768.58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541768.58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2093000.00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2093000.00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1154659.96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1117662.40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1117662.40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1117662.40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1117662.40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3849000.00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3661000.00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3849000.00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3661000.00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290100.00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290100.00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2474900.00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2286900.00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1084000.00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1084000.00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交通运输支出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18769095.34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14332877.00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4436218.34</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21401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公路水路运输</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18769095.34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14332877.00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4436218.34</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2140123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航道维护</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18769095.34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14332877.00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4436218.34</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天津市交通（集团）有限公司</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31289886.76</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31847967.16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22792307.98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4436218.34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2909162.23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1710278.61</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709201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天津市航道工程处</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23679095.34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23679095.34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19242877.00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4436218.34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709704</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天津市交通教育培训中心</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4061360.44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4619440.84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2909162.23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1710278.61</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709901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天津市交通（集团）有限公司（本级）</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3549430.98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3549430.98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3549430.98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天津市交通（集团）有限公司</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-558080.40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-558080.40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-558080.40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709201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天津市航道工程处</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709704</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天津市交通教育培训中心</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-558080.40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-558080.40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-558080.40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709901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天津市交通（集团）有限公司（本级）</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30083714.56</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26605714.84</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1117662.40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2360337.32</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2558528.28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494850.92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2063677.36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2558528.28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494850.92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2063677.36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2050399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其他职业教育支出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2558528.28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494850.92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2063677.36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4907090.94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3680768.58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3789428.54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3680768.58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行政单位离退休</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541768.58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2093000.00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1154659.96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1117662.40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3849000.00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3661000.00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3849000.00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3661000.00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290100.00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290100.00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2474900.00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2286900.00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1084000.00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交通运输支出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21401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公路水路运输</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2140123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航道维护</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18769095.34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22792307.98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4798430.98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4798430.98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3661000.00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3661000.00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14332877.00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14332877.00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22792307.98</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22792307.98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22792307.98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22792307.98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22792307.98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22792307.98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天津市交通（集团）有限公司</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22792307.98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21674645.58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20426668.58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1247977.00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1117662.40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4798430.98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3680768.58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3671768.58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1117662.40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3680768.58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3680768.58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3671768.58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行政单位离退休</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541768.58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541768.58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532768.58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2093000.00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2093000.00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2093000.00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1046000.00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1046000.00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1046000.00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1117662.40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1117662.40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1117662.40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1117662.40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3661000.00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3661000.00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3661000.00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3661000.00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3661000.00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3661000.00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290100.00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290100.00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290100.00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2286900.00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2286900.00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2286900.00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1084000.00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1084000.00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1084000.00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交通运输支出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13093900.00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1238977.00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21401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公路水路运输</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13093900.00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1238977.00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2140123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航道维护</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14332877.00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13093900.00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1238977.00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14065900.00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1227979.00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4640900.00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23899.00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19998.00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1226100.00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19998.00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7310.80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2860900.00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90858.44</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2093000.00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19452.59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1046000.00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55200.00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687000.00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4701.02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1084000.00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124696.80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6360768.58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268100.00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4202668.58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319775.00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1890000.00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117000.00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287085.35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27582.51</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86417.49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20426668.58</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1247977.00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天津市交通（集团）有限公司2025年度政府性基金预算财政拨款收入支出决算表为空表。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天津市交通（集团）有限公司2025年度国有资本经营预算财政拨款收入支出决算表为空表。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28000.00</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28000.00</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28000.00</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天津市交通（集团）有限公司</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1117662.40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1117662.40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1117662.40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31,289,886.76</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增加1,289,674.62元，增长4.30%</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所属事业单位扩大业务范围，事业收入增加，业务支出增多；本级老干部抚恤金支出增多</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一般公共预算财政拨款收入22,792,307.98元、事业收入4,436,218.34元、事业单位经营收入2,909,162.23元、其他收入1,710,278.61元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bookmarkStart w:id="17" w:name="_Toc6621"/>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教育支出2,558,528.28元、社会保障和就业支出4,907,090.94元、卫生健康支出3,849,000.00元、交通运输支出18,769,095.34元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天津市交通（集团）有限公司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31,847,967.16</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增加1,249,689.66元，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所属事业单位扩大业务范围，事业收入增加；本级老干部抚恤金财政拨款项目收入增加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一般公共预算财政拨款收入22,792,307.98元，占71.57%；事业收入4,436,218.34元，占13.93%；事业单位经营收入2,909,162.23元，占9.13%；其他收入1,710,278.61元，占5.37%</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天津市交通（集团）有限公司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30,083,714.56</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减少442,410.91元，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所属生产经营类单位业务减少，压缩不必要开支</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基本支出26,605,714.84元，占88.44%；项目支出1,117,662.40元，占3.72%；经营支出2,360,337.32元，占7.85%</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22,792,307.98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增加1,251,488.54元，增长5.81%，</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本级老干部医疗费较去年增长；本级老干部抚恤金项目收支增加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一般公共预算财政拨款22,792,307.98元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社会保障和就业支出4,798,430.98元、卫生健康支出3,661,000.00元、交通运输支出14,332,877.00元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天津市交通（集团）有限公司2025年度一般公共预算财政拨款支出合计22,792,307.98元，占本年支出合计的75.76%。与2024年度相比，一般公共预算财政拨款支出</w:t>
      </w:r>
      <w:r>
        <w:rPr>
          <w:rFonts w:eastAsia="仿宋_GB2312" w:hint="eastAsia"/>
          <w:sz w:val="30"/>
          <w:szCs w:val="30"/>
          <w:highlight w:val="none"/>
          <w:lang w:val="en-US" w:eastAsia="zh-CN"/>
        </w:rPr>
        <w:t xml:space="preserve">增加1,251,488.54元</w:t>
      </w:r>
      <w:r>
        <w:rPr>
          <w:rFonts w:eastAsia="仿宋_GB2312" w:hint="eastAsia"/>
          <w:sz w:val="30"/>
          <w:szCs w:val="30"/>
          <w:highlight w:val="none"/>
          <w:lang w:val="en-US" w:eastAsia="zh-CN"/>
        </w:rPr>
        <w:t xml:space="preserve">，增长5.81%</w:t>
      </w:r>
      <w:r>
        <w:rPr>
          <w:rFonts w:eastAsia="仿宋_GB2312" w:hint="eastAsia"/>
          <w:sz w:val="30"/>
          <w:szCs w:val="30"/>
          <w:highlight w:val="none"/>
          <w:lang w:val="en-US" w:eastAsia="zh-CN"/>
        </w:rPr>
        <w:t xml:space="preserve">，主要原因是本级老干部医疗费较去年增长；本级老干部抚恤金支出增加。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2025年度一般公共预算财政拨款支出22,792,307.98元，主要用于以下方面：</w:t>
      </w:r>
      <w:r>
        <w:rPr>
          <w:rFonts w:eastAsia="仿宋_GB2312" w:hint="eastAsia"/>
          <w:sz w:val="30"/>
          <w:szCs w:val="30"/>
          <w:highlight w:val="none"/>
        </w:rPr>
        <w:t xml:space="preserve">社会保障和就业支出（类）支出4,798,430.98元，占21.05%，卫生健康支出（类）支出3,661,000.00元，占16.06%，交通运输支出（类）支出14,332,877.00元，占62.88%</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2025年度一般公共预算财政拨款支出年初预算为19,229,000.00元，支出决算为22,792,307.98元</w:t>
      </w:r>
      <w:r>
        <w:rPr>
          <w:rFonts w:eastAsia="仿宋_GB2312" w:hint="eastAsia"/>
          <w:sz w:val="30"/>
          <w:szCs w:val="30"/>
          <w:highlight w:val="none"/>
          <w:lang w:val="en-US" w:eastAsia="zh-CN"/>
        </w:rPr>
        <w:t xml:space="preserve">，完成年初预算的118.53%</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1.社会保障和就业支出（类）行政事业单位养老支出（款）行政单位离退休（项）年初预算为520,000.00元，支出决算为541,768.58元，完成年初预算的104.19%，决算数大于年初预算数的主要原因是：年中追加退休费。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行政事业单位养老支出（款）机关事业单位基本养老保险缴费支出（项）年初预算为2,093,000.00元，支出决算为2,093,000.00元，完成年初预算的100.00%，决算数与年初预算数持平的主要原因是：严格按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行政事业单位养老支出（款）机关事业单位职业年金缴费支出（项）年初预算为1,046,000.00元，支出决算为1,046,000.00元，完成年初预算的100.00%，决算数与年初预算数持平的主要原因是：严格按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4.社会保障和就业支出（类）其他社会保障和就业支出（款）其他社会保障和就业支出（项）年初预算为0.00元，支出决算为1,117,662.40元，决算数大于年初预算数的主要原因是：年中追加老干部死亡抚恤金。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5.卫生健康支出（类）行政事业单位医疗（款）行政单位医疗（项）年初预算为20,000.00元，支出决算为290,100.00元，完成年初预算的1450.50%，决算数大于年初预算数的主要原因是：年中追加老干部医疗费补助。</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6.卫生健康支出（类）行政事业单位医疗（款）事业单位医疗（项）年初预算为687,000.00元，支出决算为2,286,900.00元，完成年初预算的332.88%，决算数大于年初预算数的主要原因是：年中追加老干部医疗费补助。</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其他行政事业单位医疗支出（项）年初预算为1,084,000.00元，支出决算为1,084,000.00元，完成年初预算的100.00%，决算数与年初预算数持平的主要原因是：严格按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交通运输支出（类）公路水路运输（款）航道维护（项）年初预算为13,779,000.00元，支出决算为14,332,877.00元，完成年初预算的104.02%，决算数大于年初预算数的主要原因是：所属事业单位人员调整，年中追加经费。</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天津市交通（集团）有限公司2025年度一般公共预算财政拨款基本支出合计21,674,645.58元，与2024年度相比</w:t>
      </w:r>
      <w:r>
        <w:rPr>
          <w:rFonts w:eastAsia="仿宋_GB2312" w:hint="eastAsia"/>
          <w:sz w:val="30"/>
          <w:szCs w:val="30"/>
          <w:highlight w:val="none"/>
          <w:lang w:val="en-US" w:eastAsia="zh-CN"/>
        </w:rPr>
        <w:t xml:space="preserve">增加470,060.54元，</w:t>
      </w:r>
      <w:r>
        <w:rPr>
          <w:rFonts w:eastAsia="仿宋_GB2312" w:hint="eastAsia"/>
          <w:sz w:val="30"/>
          <w:szCs w:val="30"/>
          <w:highlight w:val="none"/>
          <w:lang w:val="en-US" w:eastAsia="zh-CN"/>
        </w:rPr>
        <w:t xml:space="preserve">主要原因是本级老干部医疗费较去年增长。</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人员经费20,426,668.58元，主要包括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基本工资、津贴补贴、绩效工资、机关事业单位基本养老保险缴费、职业年金缴费、职工基本医疗保险缴费、医疗费、其他工资福利支出、离休费、退休费、医疗费补助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公用经费1,247,977.00元，主要包括</w:t>
      </w:r>
      <w:r>
        <w:rPr>
          <w:rFonts w:eastAsia="仿宋_GB2312" w:hint="eastAsia"/>
          <w:sz w:val="30"/>
          <w:szCs w:val="30"/>
          <w:highlight w:val="none"/>
          <w:lang w:val="en-US" w:eastAsia="zh-CN"/>
        </w:rPr>
        <w:t xml:space="preserve">办公费、水费、电费、邮电费、取暖费、物业管理费、维修(护)费、租赁费、专用材料费、工会经费、福利费、公务用车运行维护费、税金及附加费用、其他商品和服务支出、办公设备购置</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决算数与预算数持平的主要原因是厉行节约，严格按预算执行，合理安排“三公”经费；</w:t>
      </w:r>
      <w:r>
        <w:rPr>
          <w:rFonts w:eastAsia="仿宋_GB2312" w:hint="eastAsia"/>
          <w:sz w:val="30"/>
          <w:szCs w:val="30"/>
          <w:highlight w:val="none"/>
          <w:lang w:val="en-US" w:eastAsia="zh-CN"/>
        </w:rPr>
        <w:t xml:space="preserve">决算数较上年持平的主要原因是厉行节约，严格按预算执行，合理安排“三公”经费。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决算数与预算数持平的主要原因是本年度未安排因公出国（境）任务；</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决算数与预算数持平的主要原因是厉行节约，严格按预算执行，合理安排公车使用，严控公务用车运行维护费支出；</w:t>
      </w:r>
      <w:r>
        <w:rPr>
          <w:rFonts w:eastAsia="仿宋_GB2312" w:hint="eastAsia"/>
          <w:sz w:val="30"/>
          <w:szCs w:val="30"/>
          <w:highlight w:val="none"/>
          <w:lang w:val="en-US" w:eastAsia="zh-CN"/>
        </w:rPr>
        <w:t xml:space="preserve">决算数较上年持平的主要原因是厉行节约，严格按预算执行，合理安排公车使用，严控公务用车运行维护费支出。</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28,000.00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决算数与预算数持平的主要原因是厉行节约，严格按预算执行，合理安排公车使用，严控公务用车运行维护费支出；</w:t>
      </w:r>
      <w:r>
        <w:rPr>
          <w:rFonts w:eastAsia="仿宋_GB2312" w:hint="eastAsia"/>
          <w:sz w:val="30"/>
          <w:szCs w:val="30"/>
          <w:highlight w:val="none"/>
          <w:lang w:val="en-US" w:eastAsia="zh-CN"/>
        </w:rPr>
        <w:t xml:space="preserve">决算数较上年持平的主要原因是厉行节约，严格按预算执行，合理安排公车使用，严控公务用车运行维护费支出。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集团）有限公司2025年政府采购支出总额29,977.00元，其中：政府采购货物支出29,977.00元、政府采购工程支出0.00元、政府采购服务支出0.00元。授予中小企业合同金额0.00元，占政府采购支出总额的0.00%，其中：授予小微企业合同金额0.00元，占政府采购支出总额的0.00%；货物采购授予中小企业合同金额占货物支出金额的0.00%，工程采购授予中小企业合同金额占工程支出金额的0.00%，服务采购授予中小企业合同金额占服务支出金额的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截至2025年12月31日，天津市交通（集团）有限公司共有车辆19辆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其他用车19辆</w:t>
      </w:r>
      <w:r>
        <w:rPr>
          <w:rFonts w:eastAsia="仿宋_GB2312" w:hint="eastAsia"/>
          <w:sz w:val="30"/>
          <w:szCs w:val="30"/>
          <w:highlight w:val="none"/>
          <w:lang w:val="en-US" w:eastAsia="zh-CN"/>
        </w:rPr>
        <w:t xml:space="preserve">，其他用车主要包括公务用车、生产用车</w:t>
      </w:r>
      <w:r>
        <w:rPr>
          <w:rFonts w:eastAsia="仿宋_GB2312" w:hint="eastAsia"/>
          <w:sz w:val="30"/>
          <w:szCs w:val="30"/>
          <w:highlight w:val="none"/>
          <w:lang w:val="en-US" w:eastAsia="zh-CN"/>
        </w:rPr>
        <w:t xml:space="preserve">。单价100万元以上的设备0台（套）。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天津市交通（集团）有限公已对3个2025年度市级项目开展绩效自评，涉及金额1,117,662.40元，自评结果已随部门决算一并公开。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本部门2025年度未开展部门评价。</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天津市交通（集团）有限公司不属于乡、镇、街级单位，不涉及公开2025年度教育、医疗卫生、社会保障和就业、住房保障、涉农补贴等民生支出情况。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10B96A9E-6D3A-4DC4-8CAA-C5489E98B4D6}"/>
    <w:embedBold r:id="rId2" w:subsetted="1" w:fontKey="{A5E595CF-9C2D-4F12-9EF1-7456CC6FC630}"/>
  </w:font>
  <w:font w:name="Cambria">
    <w:panose1 w:val="02040503050406030204"/>
    <w:charset w:val="00"/>
    <w:family w:val="roman"/>
    <w:pitch w:val="default"/>
    <w:sig w:usb0="E00006FF" w:usb1="420024FF" w:usb2="02000000" w:usb3="00000000" w:csb0="2000019F" w:csb1="00000000"/>
    <w:embedRegular r:id="rId3" w:fontKey="{CD441B60-E5E1-41C2-B90B-7A3CE417CEEC}"/>
  </w:font>
  <w:font w:name="Calibri">
    <w:panose1 w:val="020F0502020204030204"/>
    <w:charset w:val="00"/>
    <w:family w:val="swiss"/>
    <w:pitch w:val="default"/>
    <w:sig w:usb0="E4002EFF" w:usb1="C200247B" w:usb2="00000009" w:usb3="00000000" w:csb0="200001FF" w:csb1="00000000"/>
    <w:embedRegular r:id="rId4" w:fontKey="{314E252C-CDA3-44C8-BDCC-284985D174E3}"/>
  </w:font>
  <w:font w:name="黑体">
    <w:panose1 w:val="02010609060101010101"/>
    <w:charset w:val="FFFFFF86"/>
    <w:family w:val="auto"/>
    <w:pitch w:val="default"/>
    <w:sig w:usb0="800002BF" w:usb1="38CF7CFA" w:usb2="00000016" w:usb3="00000000" w:csb0="00040001" w:csb1="00000000"/>
    <w:embedRegular r:id="rId5" w:subsetted="1" w:fontKey="{BEDD30C0-25A7-49D9-B93A-8A5959145FF7}"/>
    <w:embedBold r:id="rId6" w:subsetted="1" w:fontKey="{B167EF9D-DE25-4B28-8E41-ACFF936710CC}"/>
  </w:font>
  <w:font w:name="方正小标宋简体">
    <w:altName w:val="黑体"/>
    <w:panose1 w:val="02000000000000000000"/>
    <w:charset w:val="FFFFFF86"/>
    <w:family w:val="auto"/>
    <w:pitch w:val="default"/>
    <w:sig w:usb0="00000001" w:usb1="08000000" w:usb2="00000000" w:usb3="00000000" w:csb0="00040000" w:csb1="00000000"/>
    <w:embedRegular r:id="rId7" w:fontKey="{8DCA07CB-DF64-4C67-B657-F7CC1E7E161E}"/>
    <w:embedBold r:id="rId8" w:fontKey="{69B4A871-0215-46E9-A205-4AFC3439B55A}"/>
  </w:font>
  <w:font w:name="仿宋">
    <w:panose1 w:val="02010609060101010101"/>
    <w:charset w:val="FFFFFF86"/>
    <w:family w:val="auto"/>
    <w:pitch w:val="default"/>
    <w:sig w:usb0="800002BF" w:usb1="38CF7CFA" w:usb2="00000016" w:usb3="00000000" w:csb0="00040001" w:csb1="00000000"/>
    <w:embedRegular r:id="rId9" w:subsetted="1" w:fontKey="{887A9A71-B79A-408E-BE3F-A848B7AD978E}"/>
  </w:font>
  <w:font w:name="方正仿宋_GB2312">
    <w:altName w:val="仿宋"/>
    <w:panose1 w:val="02000000000000000000"/>
    <w:charset w:val="FFFFFF86"/>
    <w:family w:val="auto"/>
    <w:pitch w:val="default"/>
    <w:sig w:usb0="A00002BF" w:usb1="184F6CFA" w:usb2="00000012" w:usb3="00000000" w:csb0="00040001" w:csb1="00000000"/>
    <w:embedRegular r:id="rId10" w:fontKey="{9755EDAD-D0F9-4B5B-A94E-40013B4920B8}"/>
  </w:font>
  <w:font w:name="仿宋_GB2312">
    <w:altName w:val="仿宋"/>
    <w:panose1 w:val="02010609030101010101"/>
    <w:charset w:val="FFFFFF86"/>
    <w:family w:val="auto"/>
    <w:pitch w:val="default"/>
    <w:sig w:usb0="00000001" w:usb1="080E0000" w:usb2="00000000" w:usb3="00000000" w:csb0="00040000" w:csb1="00000000"/>
    <w:embedRegular r:id="rId11" w:fontKey="{74E7D0BE-8109-4475-AFA6-28D6A9ADA8B4}"/>
  </w:font>
  <w:font w:name="方正楷体_GB2312">
    <w:altName w:val="宋体"/>
    <w:panose1 w:val="02000000000000000000"/>
    <w:charset w:val="FFFFFF86"/>
    <w:family w:val="auto"/>
    <w:pitch w:val="default"/>
    <w:sig w:usb0="A00002BF" w:usb1="184F6CFA" w:usb2="00000012" w:usb3="00000000" w:csb0="00040001" w:csb1="00000000"/>
    <w:embedRegular r:id="rId12" w:fontKey="{AA0E268B-8F6D-49C9-BEDF-814556C245BC}"/>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3" w:subsetted="1" w:fontKey="{AEA0BAD7-1E76-4F04-9EF3-CD581C465ED8}"/>
    <w:embedBold r:id="rId14" w:subsetted="1" w:fontKey="{3FA6A00B-7B26-4A4F-BF63-C67A6B492657}"/>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8</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21</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30</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33</Pages>
  <Words>3930</Words>
  <Characters>23360</Characters>
  <Application>WPS Office_12.1.0.28043_F1E327BC-269C-435d-A152-05C5408002CA</Application>
  <DocSecurity>0</DocSecurity>
  <Lines>60</Lines>
  <Paragraphs>16</Paragraphs>
  <ScaleCrop>false</ScaleCrop>
  <Company>Microsoft</Company>
  <LinksUpToDate>false</LinksUpToDate>
  <CharactersWithSpaces>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2026-08-26T09:05:43Z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