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33E5E">
      <w:pPr>
        <w:autoSpaceDE w:val="0"/>
        <w:autoSpaceDN w:val="0"/>
        <w:adjustRightInd w:val="0"/>
        <w:jc w:val="center"/>
        <w:rPr>
          <w:rFonts w:ascii="Times New Roman" w:hAnsi="Times New Roman" w:eastAsia="方正小标宋简体" w:cs="方正小标宋简体"/>
          <w:kern w:val="0"/>
          <w:sz w:val="48"/>
          <w:szCs w:val="48"/>
          <w:lang w:val="zh-CN"/>
        </w:rPr>
      </w:pPr>
    </w:p>
    <w:p w14:paraId="01C5AFBE">
      <w:pPr>
        <w:autoSpaceDE w:val="0"/>
        <w:autoSpaceDN w:val="0"/>
        <w:adjustRightInd w:val="0"/>
        <w:jc w:val="center"/>
        <w:rPr>
          <w:rFonts w:ascii="Times New Roman" w:hAnsi="Times New Roman" w:eastAsia="方正小标宋简体" w:cs="方正小标宋简体"/>
          <w:kern w:val="0"/>
          <w:sz w:val="48"/>
          <w:szCs w:val="48"/>
          <w:lang w:val="zh-CN"/>
        </w:rPr>
      </w:pPr>
    </w:p>
    <w:p w14:paraId="410ECB3D">
      <w:pPr>
        <w:autoSpaceDE w:val="0"/>
        <w:autoSpaceDN w:val="0"/>
        <w:adjustRightInd w:val="0"/>
        <w:jc w:val="center"/>
        <w:rPr>
          <w:rFonts w:ascii="Times New Roman" w:hAnsi="Times New Roman" w:eastAsia="方正小标宋简体" w:cs="方正小标宋简体"/>
          <w:kern w:val="0"/>
          <w:sz w:val="48"/>
          <w:szCs w:val="48"/>
          <w:lang w:val="zh-CN"/>
        </w:rPr>
      </w:pPr>
    </w:p>
    <w:p w14:paraId="0F81FAFF">
      <w:pPr>
        <w:autoSpaceDE w:val="0"/>
        <w:autoSpaceDN w:val="0"/>
        <w:adjustRightInd w:val="0"/>
        <w:jc w:val="center"/>
        <w:rPr>
          <w:rFonts w:ascii="Times New Roman" w:hAnsi="Times New Roman" w:eastAsia="方正小标宋简体" w:cs="方正小标宋简体"/>
          <w:kern w:val="0"/>
          <w:sz w:val="48"/>
          <w:szCs w:val="48"/>
          <w:lang w:val="zh-CN"/>
        </w:rPr>
      </w:pPr>
    </w:p>
    <w:p w14:paraId="64A9A06D">
      <w:pPr>
        <w:autoSpaceDE w:val="0"/>
        <w:autoSpaceDN w:val="0"/>
        <w:adjustRightInd w:val="0"/>
        <w:jc w:val="center"/>
        <w:rPr>
          <w:rFonts w:ascii="Times New Roman" w:hAnsi="Times New Roman" w:eastAsia="方正小标宋简体" w:cs="方正小标宋简体"/>
          <w:kern w:val="0"/>
          <w:sz w:val="48"/>
          <w:szCs w:val="48"/>
          <w:lang w:val="zh-CN"/>
        </w:rPr>
      </w:pPr>
    </w:p>
    <w:p w14:paraId="22429C47">
      <w:pPr>
        <w:autoSpaceDE w:val="0"/>
        <w:autoSpaceDN w:val="0"/>
        <w:adjustRightInd w:val="0"/>
        <w:jc w:val="center"/>
        <w:rPr>
          <w:rFonts w:ascii="Times New Roman" w:hAnsi="Times New Roman" w:eastAsia="方正小标宋简体" w:cs="方正小标宋简体"/>
          <w:kern w:val="0"/>
          <w:sz w:val="48"/>
          <w:szCs w:val="48"/>
          <w:lang w:val="zh-CN"/>
        </w:rPr>
      </w:pPr>
    </w:p>
    <w:p w14:paraId="1364BF52">
      <w:pPr>
        <w:autoSpaceDE w:val="0"/>
        <w:autoSpaceDN w:val="0"/>
        <w:adjustRightInd w:val="0"/>
        <w:jc w:val="center"/>
        <w:rPr>
          <w:rFonts w:ascii="Times New Roman" w:hAnsi="Times New Roman" w:eastAsia="方正小标宋简体" w:cs="方正小标宋简体"/>
          <w:kern w:val="0"/>
          <w:sz w:val="48"/>
          <w:szCs w:val="48"/>
          <w:lang w:val="zh-CN"/>
        </w:rPr>
      </w:pPr>
    </w:p>
    <w:p w14:paraId="5638CD28">
      <w:pPr>
        <w:autoSpaceDE w:val="0"/>
        <w:autoSpaceDN w:val="0"/>
        <w:adjustRightInd w:val="0"/>
        <w:jc w:val="center"/>
        <w:rPr>
          <w:rFonts w:ascii="Times New Roman" w:hAnsi="Times New Roman" w:eastAsia="方正小标宋简体" w:cs="方正小标宋简体"/>
          <w:kern w:val="0"/>
          <w:sz w:val="48"/>
          <w:szCs w:val="48"/>
          <w:lang w:val="zh-CN"/>
        </w:rPr>
      </w:pPr>
    </w:p>
    <w:p w14:paraId="7BA749B4">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天津市交通教育培训中心</w:t>
      </w:r>
    </w:p>
    <w:p w14:paraId="07099206">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51AC6E5C">
      <w:pPr>
        <w:autoSpaceDE w:val="0"/>
        <w:autoSpaceDN w:val="0"/>
        <w:adjustRightInd w:val="0"/>
        <w:spacing w:line="580" w:lineRule="exact"/>
        <w:jc w:val="center"/>
        <w:rPr>
          <w:rFonts w:ascii="Times New Roman" w:hAnsi="Times New Roman" w:eastAsia="黑体" w:cs="黑体"/>
          <w:sz w:val="30"/>
          <w:szCs w:val="30"/>
        </w:rPr>
      </w:pPr>
    </w:p>
    <w:p w14:paraId="6BA47785">
      <w:pPr>
        <w:autoSpaceDE w:val="0"/>
        <w:autoSpaceDN w:val="0"/>
        <w:adjustRightInd w:val="0"/>
        <w:spacing w:line="580" w:lineRule="exact"/>
        <w:jc w:val="center"/>
        <w:rPr>
          <w:rFonts w:ascii="Times New Roman" w:hAnsi="Times New Roman" w:eastAsia="黑体" w:cs="黑体"/>
          <w:sz w:val="30"/>
          <w:szCs w:val="30"/>
        </w:rPr>
      </w:pPr>
    </w:p>
    <w:p w14:paraId="2AA8F04B">
      <w:pPr>
        <w:autoSpaceDE w:val="0"/>
        <w:autoSpaceDN w:val="0"/>
        <w:adjustRightInd w:val="0"/>
        <w:spacing w:line="580" w:lineRule="exact"/>
        <w:jc w:val="center"/>
        <w:rPr>
          <w:rFonts w:ascii="Times New Roman" w:hAnsi="Times New Roman" w:eastAsia="黑体" w:cs="黑体"/>
          <w:sz w:val="30"/>
          <w:szCs w:val="30"/>
        </w:rPr>
      </w:pPr>
    </w:p>
    <w:p w14:paraId="387B79FF">
      <w:pPr>
        <w:autoSpaceDE w:val="0"/>
        <w:autoSpaceDN w:val="0"/>
        <w:adjustRightInd w:val="0"/>
        <w:spacing w:line="580" w:lineRule="exact"/>
        <w:jc w:val="center"/>
        <w:rPr>
          <w:rFonts w:ascii="Times New Roman" w:hAnsi="Times New Roman" w:eastAsia="黑体" w:cs="黑体"/>
          <w:sz w:val="30"/>
          <w:szCs w:val="30"/>
        </w:rPr>
      </w:pPr>
    </w:p>
    <w:p w14:paraId="6B4E0A1B">
      <w:pPr>
        <w:autoSpaceDE w:val="0"/>
        <w:autoSpaceDN w:val="0"/>
        <w:adjustRightInd w:val="0"/>
        <w:spacing w:line="580" w:lineRule="exact"/>
        <w:jc w:val="center"/>
        <w:rPr>
          <w:rFonts w:ascii="Times New Roman" w:hAnsi="Times New Roman" w:eastAsia="黑体" w:cs="黑体"/>
          <w:sz w:val="30"/>
          <w:szCs w:val="30"/>
        </w:rPr>
      </w:pPr>
    </w:p>
    <w:p w14:paraId="46B5E414">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5E4A0810">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1E1A4555">
      <w:pPr>
        <w:autoSpaceDE w:val="0"/>
        <w:autoSpaceDN w:val="0"/>
        <w:adjustRightInd w:val="0"/>
        <w:spacing w:line="600" w:lineRule="exact"/>
        <w:jc w:val="left"/>
        <w:rPr>
          <w:rFonts w:ascii="Times New Roman" w:hAnsi="Times New Roman" w:eastAsia="黑体" w:cs="黑体"/>
          <w:kern w:val="0"/>
          <w:sz w:val="30"/>
          <w:szCs w:val="30"/>
        </w:rPr>
      </w:pPr>
    </w:p>
    <w:p w14:paraId="4D38F5A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1</w:t>
      </w:r>
    </w:p>
    <w:p w14:paraId="51A125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1</w:t>
      </w:r>
    </w:p>
    <w:p w14:paraId="406E76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1</w:t>
      </w:r>
    </w:p>
    <w:p w14:paraId="78ED8F0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2</w:t>
      </w:r>
    </w:p>
    <w:p w14:paraId="796CDC0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2</w:t>
      </w:r>
    </w:p>
    <w:p w14:paraId="1DFFBB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2</w:t>
      </w:r>
    </w:p>
    <w:p w14:paraId="24D467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2</w:t>
      </w:r>
    </w:p>
    <w:p w14:paraId="2E52E2F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2</w:t>
      </w:r>
    </w:p>
    <w:p w14:paraId="7C7B303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2</w:t>
      </w:r>
    </w:p>
    <w:p w14:paraId="6C21E7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2</w:t>
      </w:r>
    </w:p>
    <w:p w14:paraId="5DE082B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2</w:t>
      </w:r>
    </w:p>
    <w:p w14:paraId="569AC1A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2</w:t>
      </w:r>
    </w:p>
    <w:p w14:paraId="7C74621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2</w:t>
      </w:r>
    </w:p>
    <w:p w14:paraId="3AFC28D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2</w:t>
      </w:r>
    </w:p>
    <w:p w14:paraId="20923D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2</w:t>
      </w:r>
    </w:p>
    <w:p w14:paraId="6A15876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3</w:t>
      </w:r>
    </w:p>
    <w:p w14:paraId="09A680D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4</w:t>
      </w:r>
    </w:p>
    <w:p w14:paraId="2531673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4</w:t>
      </w:r>
    </w:p>
    <w:p w14:paraId="595276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4</w:t>
      </w:r>
    </w:p>
    <w:p w14:paraId="024CCCB2">
      <w:pPr>
        <w:tabs>
          <w:tab w:val="right" w:leader="dot" w:pos="8306"/>
        </w:tabs>
        <w:autoSpaceDE w:val="0"/>
        <w:autoSpaceDN w:val="0"/>
        <w:adjustRightInd w:val="0"/>
        <w:spacing w:line="700" w:lineRule="exact"/>
        <w:ind w:left="220"/>
        <w:jc w:val="left"/>
        <w:rPr>
          <w:rFonts w:hint="eastAsia" w:ascii="Times New Roman" w:hAnsi="Times New Roman" w:eastAsia="方正小标宋简体" w:cs="Times New Roman"/>
          <w:kern w:val="0"/>
          <w:sz w:val="30"/>
          <w:szCs w:val="30"/>
          <w:lang w:eastAsia="zh-CN"/>
        </w:rPr>
      </w:pPr>
      <w:r>
        <w:rPr>
          <w:rFonts w:hint="eastAsia" w:ascii="Times New Roman" w:hAnsi="Times New Roman" w:eastAsia="仿宋_GB2312" w:cs="仿宋_GB2312"/>
          <w:kern w:val="0"/>
          <w:sz w:val="30"/>
          <w:szCs w:val="30"/>
        </w:rPr>
        <w:t>三、支出决算情况说明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lang w:val="en-US" w:eastAsia="zh-CN"/>
        </w:rPr>
        <w:t>4</w:t>
      </w:r>
    </w:p>
    <w:p w14:paraId="38271932">
      <w:pPr>
        <w:tabs>
          <w:tab w:val="right" w:leader="dot" w:pos="8306"/>
        </w:tabs>
        <w:autoSpaceDE w:val="0"/>
        <w:autoSpaceDN w:val="0"/>
        <w:adjustRightInd w:val="0"/>
        <w:spacing w:line="700" w:lineRule="exact"/>
        <w:ind w:left="220"/>
        <w:jc w:val="left"/>
        <w:rPr>
          <w:rFonts w:hint="eastAsia" w:ascii="Times New Roman" w:hAnsi="Times New Roman" w:eastAsia="方正小标宋简体" w:cs="Times New Roman"/>
          <w:kern w:val="0"/>
          <w:sz w:val="30"/>
          <w:szCs w:val="30"/>
          <w:lang w:eastAsia="zh-CN"/>
        </w:rPr>
      </w:pPr>
      <w:r>
        <w:rPr>
          <w:rFonts w:hint="eastAsia" w:ascii="Times New Roman" w:hAnsi="Times New Roman" w:eastAsia="仿宋_GB2312" w:cs="仿宋_GB2312"/>
          <w:kern w:val="0"/>
          <w:sz w:val="30"/>
          <w:szCs w:val="30"/>
        </w:rPr>
        <w:t>四、财政拨款收支决算总体情况说明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lang w:val="en-US" w:eastAsia="zh-CN"/>
        </w:rPr>
        <w:t>4</w:t>
      </w:r>
    </w:p>
    <w:p w14:paraId="034B9D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rPr>
        <w:t>5</w:t>
      </w:r>
    </w:p>
    <w:p w14:paraId="77FFBDE2">
      <w:pPr>
        <w:tabs>
          <w:tab w:val="right" w:leader="dot" w:pos="8306"/>
        </w:tabs>
        <w:autoSpaceDE w:val="0"/>
        <w:autoSpaceDN w:val="0"/>
        <w:adjustRightInd w:val="0"/>
        <w:spacing w:line="700" w:lineRule="exact"/>
        <w:ind w:left="220"/>
        <w:jc w:val="left"/>
        <w:rPr>
          <w:rFonts w:hint="eastAsia" w:ascii="Times New Roman" w:hAnsi="Times New Roman" w:eastAsia="方正小标宋简体" w:cs="Times New Roman"/>
          <w:kern w:val="0"/>
          <w:sz w:val="30"/>
          <w:szCs w:val="30"/>
          <w:lang w:val="en-US" w:eastAsia="zh-CN"/>
        </w:rPr>
      </w:pPr>
      <w:r>
        <w:rPr>
          <w:rFonts w:hint="eastAsia" w:ascii="Times New Roman" w:hAnsi="Times New Roman" w:eastAsia="仿宋_GB2312" w:cs="仿宋_GB2312"/>
          <w:kern w:val="0"/>
          <w:sz w:val="30"/>
          <w:szCs w:val="30"/>
        </w:rPr>
        <w:t>六、一般公共预算财政拨款基本支出决算情况说明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lang w:val="en-US" w:eastAsia="zh-CN"/>
        </w:rPr>
        <w:t>5</w:t>
      </w:r>
    </w:p>
    <w:p w14:paraId="574BD7FA">
      <w:pPr>
        <w:tabs>
          <w:tab w:val="right" w:leader="dot" w:pos="8306"/>
        </w:tabs>
        <w:autoSpaceDE w:val="0"/>
        <w:autoSpaceDN w:val="0"/>
        <w:adjustRightInd w:val="0"/>
        <w:spacing w:line="700" w:lineRule="exact"/>
        <w:ind w:left="220"/>
        <w:jc w:val="left"/>
        <w:rPr>
          <w:rFonts w:hint="eastAsia" w:ascii="Times New Roman" w:hAnsi="Times New Roman" w:eastAsia="方正小标宋简体" w:cs="Times New Roman"/>
          <w:kern w:val="0"/>
          <w:sz w:val="30"/>
          <w:szCs w:val="30"/>
          <w:lang w:eastAsia="zh-CN"/>
        </w:rPr>
      </w:pPr>
      <w:r>
        <w:rPr>
          <w:rFonts w:hint="eastAsia" w:ascii="Times New Roman" w:hAnsi="Times New Roman" w:eastAsia="仿宋_GB2312" w:cs="仿宋_GB2312"/>
          <w:kern w:val="0"/>
          <w:sz w:val="30"/>
          <w:szCs w:val="30"/>
        </w:rPr>
        <w:t>七、政府性基金预算财政拨款收支决算情况说明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lang w:val="en-US" w:eastAsia="zh-CN"/>
        </w:rPr>
        <w:t>5</w:t>
      </w:r>
    </w:p>
    <w:p w14:paraId="1FAB87C2">
      <w:pPr>
        <w:tabs>
          <w:tab w:val="right" w:leader="dot" w:pos="8306"/>
        </w:tabs>
        <w:autoSpaceDE w:val="0"/>
        <w:autoSpaceDN w:val="0"/>
        <w:adjustRightInd w:val="0"/>
        <w:spacing w:line="700" w:lineRule="exact"/>
        <w:ind w:left="220"/>
        <w:jc w:val="left"/>
        <w:rPr>
          <w:rFonts w:hint="eastAsia" w:ascii="Times New Roman" w:hAnsi="Times New Roman" w:eastAsia="方正小标宋简体" w:cs="Times New Roman"/>
          <w:kern w:val="0"/>
          <w:sz w:val="30"/>
          <w:szCs w:val="30"/>
          <w:lang w:eastAsia="zh-CN"/>
        </w:rPr>
      </w:pPr>
      <w:r>
        <w:rPr>
          <w:rFonts w:hint="eastAsia" w:ascii="Times New Roman" w:hAnsi="Times New Roman" w:eastAsia="仿宋_GB2312" w:cs="仿宋_GB2312"/>
          <w:kern w:val="0"/>
          <w:sz w:val="30"/>
          <w:szCs w:val="30"/>
        </w:rPr>
        <w:t>八、国有资本经营预算财政拨款收支决算情况说明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lang w:val="en-US" w:eastAsia="zh-CN"/>
        </w:rPr>
        <w:t>5</w:t>
      </w:r>
    </w:p>
    <w:p w14:paraId="75326FAE">
      <w:pPr>
        <w:tabs>
          <w:tab w:val="right" w:leader="dot" w:pos="8306"/>
        </w:tabs>
        <w:autoSpaceDE w:val="0"/>
        <w:autoSpaceDN w:val="0"/>
        <w:adjustRightInd w:val="0"/>
        <w:spacing w:line="700" w:lineRule="exact"/>
        <w:ind w:left="220"/>
        <w:jc w:val="left"/>
        <w:rPr>
          <w:rFonts w:hint="eastAsia" w:ascii="Times New Roman" w:hAnsi="Times New Roman" w:eastAsia="方正小标宋简体" w:cs="Times New Roman"/>
          <w:kern w:val="0"/>
          <w:sz w:val="30"/>
          <w:szCs w:val="30"/>
          <w:lang w:eastAsia="zh-CN"/>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lang w:val="en-US" w:eastAsia="zh-CN"/>
        </w:rPr>
        <w:t>6</w:t>
      </w:r>
    </w:p>
    <w:p w14:paraId="24CFBDD2">
      <w:pPr>
        <w:tabs>
          <w:tab w:val="right" w:leader="dot" w:pos="8306"/>
        </w:tabs>
        <w:autoSpaceDE w:val="0"/>
        <w:autoSpaceDN w:val="0"/>
        <w:adjustRightInd w:val="0"/>
        <w:spacing w:line="700" w:lineRule="exact"/>
        <w:ind w:left="220"/>
        <w:jc w:val="left"/>
        <w:rPr>
          <w:rFonts w:hint="eastAsia" w:ascii="Times New Roman" w:hAnsi="Times New Roman" w:eastAsia="方正小标宋简体" w:cs="Times New Roman"/>
          <w:kern w:val="0"/>
          <w:sz w:val="30"/>
          <w:szCs w:val="30"/>
          <w:lang w:eastAsia="zh-CN"/>
        </w:rPr>
      </w:pPr>
      <w:r>
        <w:rPr>
          <w:rFonts w:hint="eastAsia" w:ascii="Times New Roman" w:hAnsi="Times New Roman" w:eastAsia="仿宋_GB2312" w:cs="仿宋_GB2312"/>
          <w:kern w:val="0"/>
          <w:sz w:val="30"/>
          <w:szCs w:val="30"/>
        </w:rPr>
        <w:t>十、机关运行经费支出情况说明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lang w:val="en-US" w:eastAsia="zh-CN"/>
        </w:rPr>
        <w:t>7</w:t>
      </w:r>
    </w:p>
    <w:p w14:paraId="2094A811">
      <w:pPr>
        <w:tabs>
          <w:tab w:val="right" w:leader="dot" w:pos="8306"/>
        </w:tabs>
        <w:autoSpaceDE w:val="0"/>
        <w:autoSpaceDN w:val="0"/>
        <w:adjustRightInd w:val="0"/>
        <w:spacing w:line="700" w:lineRule="exact"/>
        <w:ind w:left="220"/>
        <w:jc w:val="left"/>
        <w:rPr>
          <w:rFonts w:hint="eastAsia" w:ascii="Times New Roman" w:hAnsi="Times New Roman" w:eastAsia="方正小标宋简体" w:cs="Times New Roman"/>
          <w:kern w:val="0"/>
          <w:sz w:val="30"/>
          <w:szCs w:val="30"/>
          <w:lang w:eastAsia="zh-CN"/>
        </w:rPr>
      </w:pPr>
      <w:r>
        <w:rPr>
          <w:rFonts w:hint="eastAsia" w:ascii="Times New Roman" w:hAnsi="Times New Roman" w:eastAsia="仿宋_GB2312" w:cs="仿宋_GB2312"/>
          <w:kern w:val="0"/>
          <w:sz w:val="30"/>
          <w:szCs w:val="30"/>
        </w:rPr>
        <w:t>十一、政府采购支出情况说明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lang w:val="en-US" w:eastAsia="zh-CN"/>
        </w:rPr>
        <w:t>7</w:t>
      </w:r>
    </w:p>
    <w:p w14:paraId="71D76F78">
      <w:pPr>
        <w:tabs>
          <w:tab w:val="right" w:leader="dot" w:pos="8306"/>
        </w:tabs>
        <w:autoSpaceDE w:val="0"/>
        <w:autoSpaceDN w:val="0"/>
        <w:adjustRightInd w:val="0"/>
        <w:spacing w:line="700" w:lineRule="exact"/>
        <w:ind w:left="220"/>
        <w:jc w:val="left"/>
        <w:rPr>
          <w:rFonts w:hint="eastAsia" w:ascii="Times New Roman" w:hAnsi="Times New Roman" w:eastAsia="方正小标宋简体" w:cs="Times New Roman"/>
          <w:kern w:val="0"/>
          <w:sz w:val="30"/>
          <w:szCs w:val="30"/>
          <w:lang w:eastAsia="zh-CN"/>
        </w:rPr>
      </w:pPr>
      <w:r>
        <w:rPr>
          <w:rFonts w:hint="eastAsia" w:ascii="Times New Roman" w:hAnsi="Times New Roman" w:eastAsia="仿宋_GB2312" w:cs="仿宋_GB2312"/>
          <w:kern w:val="0"/>
          <w:sz w:val="30"/>
          <w:szCs w:val="30"/>
        </w:rPr>
        <w:t>十二、国有资产占有使用情况说明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lang w:val="en-US" w:eastAsia="zh-CN"/>
        </w:rPr>
        <w:t>7</w:t>
      </w:r>
    </w:p>
    <w:p w14:paraId="727CC881">
      <w:pPr>
        <w:tabs>
          <w:tab w:val="right" w:leader="dot" w:pos="8306"/>
        </w:tabs>
        <w:autoSpaceDE w:val="0"/>
        <w:autoSpaceDN w:val="0"/>
        <w:adjustRightInd w:val="0"/>
        <w:spacing w:line="700" w:lineRule="exact"/>
        <w:ind w:left="220"/>
        <w:jc w:val="left"/>
        <w:rPr>
          <w:rFonts w:hint="eastAsia" w:ascii="Times New Roman" w:hAnsi="Times New Roman" w:eastAsia="方正小标宋简体" w:cs="Times New Roman"/>
          <w:kern w:val="0"/>
          <w:sz w:val="30"/>
          <w:szCs w:val="30"/>
          <w:lang w:eastAsia="zh-CN"/>
        </w:rPr>
      </w:pPr>
      <w:r>
        <w:rPr>
          <w:rFonts w:hint="eastAsia" w:ascii="Times New Roman" w:hAnsi="Times New Roman" w:eastAsia="仿宋_GB2312" w:cs="仿宋_GB2312"/>
          <w:kern w:val="0"/>
          <w:sz w:val="30"/>
          <w:szCs w:val="30"/>
        </w:rPr>
        <w:t>十三、预算绩效情况说明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lang w:val="en-US" w:eastAsia="zh-CN"/>
        </w:rPr>
        <w:t>8</w:t>
      </w:r>
    </w:p>
    <w:p w14:paraId="1B06BAD4">
      <w:pPr>
        <w:tabs>
          <w:tab w:val="right" w:leader="dot" w:pos="8306"/>
        </w:tabs>
        <w:autoSpaceDE w:val="0"/>
        <w:autoSpaceDN w:val="0"/>
        <w:adjustRightInd w:val="0"/>
        <w:spacing w:line="700" w:lineRule="exact"/>
        <w:ind w:left="220"/>
        <w:jc w:val="left"/>
        <w:rPr>
          <w:rFonts w:hint="eastAsia" w:ascii="Times New Roman" w:hAnsi="Times New Roman" w:eastAsia="方正小标宋简体" w:cs="方正小标宋简体"/>
          <w:kern w:val="0"/>
          <w:sz w:val="30"/>
          <w:szCs w:val="30"/>
          <w:lang w:eastAsia="zh-CN"/>
        </w:rPr>
      </w:pPr>
      <w:r>
        <w:rPr>
          <w:rFonts w:hint="eastAsia" w:ascii="Times New Roman" w:hAnsi="Times New Roman" w:eastAsia="仿宋_GB2312" w:cs="仿宋_GB2312"/>
          <w:kern w:val="0"/>
          <w:sz w:val="30"/>
          <w:szCs w:val="30"/>
        </w:rPr>
        <w:t>十四、教育、医疗卫生、社会保障和就业、住房保障、涉农补贴等民生支出情况说明</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lang w:val="en-US" w:eastAsia="zh-CN"/>
        </w:rPr>
        <w:t>8</w:t>
      </w:r>
    </w:p>
    <w:p w14:paraId="58921F98">
      <w:pPr>
        <w:tabs>
          <w:tab w:val="right" w:leader="dot" w:pos="8306"/>
        </w:tabs>
        <w:autoSpaceDE w:val="0"/>
        <w:autoSpaceDN w:val="0"/>
        <w:adjustRightInd w:val="0"/>
        <w:spacing w:line="700" w:lineRule="exact"/>
        <w:ind w:left="220"/>
        <w:jc w:val="left"/>
        <w:rPr>
          <w:rFonts w:hint="eastAsia" w:ascii="Times New Roman" w:hAnsi="Times New Roman" w:eastAsia="方正小标宋简体" w:cs="Times New Roman"/>
          <w:kern w:val="0"/>
          <w:sz w:val="30"/>
          <w:szCs w:val="30"/>
          <w:lang w:eastAsia="zh-CN"/>
        </w:rPr>
      </w:pPr>
      <w:r>
        <w:rPr>
          <w:rFonts w:hint="eastAsia" w:ascii="Times New Roman" w:hAnsi="Times New Roman" w:eastAsia="方正小标宋简体" w:cs="方正小标宋简体"/>
          <w:kern w:val="0"/>
          <w:sz w:val="30"/>
          <w:szCs w:val="30"/>
        </w:rPr>
        <w:t>第四部分  名词解释</w:t>
      </w:r>
      <w:r>
        <w:rPr>
          <w:rFonts w:ascii="Times New Roman" w:hAnsi="Times New Roman" w:eastAsia="方正小标宋简体" w:cs="方正小标宋简体"/>
          <w:kern w:val="0"/>
          <w:sz w:val="30"/>
          <w:szCs w:val="30"/>
        </w:rPr>
        <w:tab/>
      </w:r>
      <w:r>
        <w:rPr>
          <w:rFonts w:hint="eastAsia" w:ascii="Times New Roman" w:hAnsi="Times New Roman" w:eastAsia="方正小标宋简体" w:cs="方正小标宋简体"/>
          <w:kern w:val="0"/>
          <w:sz w:val="30"/>
          <w:szCs w:val="30"/>
          <w:lang w:val="en-US" w:eastAsia="zh-CN"/>
        </w:rPr>
        <w:t>9</w:t>
      </w:r>
    </w:p>
    <w:p w14:paraId="4D9D15D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p>
    <w:p w14:paraId="6D045EE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sectPr>
          <w:pgSz w:w="12240" w:h="15840"/>
          <w:pgMar w:top="1440" w:right="1800" w:bottom="1440" w:left="1800" w:header="720" w:footer="720" w:gutter="0"/>
          <w:cols w:space="720" w:num="1"/>
        </w:sectPr>
      </w:pPr>
    </w:p>
    <w:p w14:paraId="67A66FE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79CC502F">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31820E8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0FAF0E18">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天津市交通教育培训中心成立于 1996 年，隶属于天津市交通（集团）有限公司，自收自支事业单位。业务范围为：教育教学理论、 职业教学研究、开发、培训、咨询服务，相关学历教育、继续教育、教学培训、学术交流等项业务。目前从事的业务有：道路运输从业资格危险品运输及押运员初领证培训；内河船员培训；机关事业单位驾驶员培训、会计继续教育培训、工程类职称培训及安全标准化考评工作。</w:t>
      </w:r>
    </w:p>
    <w:p w14:paraId="28A48D9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5326BF1C">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天津市交通教育培训中心内设6个职能处室；下辖0个预算单位。纳入天津市交通教育培训中心2023年度部门决算编制范围的单位包括：</w:t>
      </w:r>
    </w:p>
    <w:p w14:paraId="4B32AD92">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1.天津市交通教育培训中心</w:t>
      </w:r>
    </w:p>
    <w:p w14:paraId="1C5D4449">
      <w:pPr>
        <w:rPr>
          <w:rFonts w:ascii="Times New Roman" w:hAnsi="Times New Roman" w:eastAsia="黑体" w:cs="黑体"/>
          <w:sz w:val="30"/>
          <w:szCs w:val="30"/>
          <w:lang w:val="zh-CN"/>
        </w:rPr>
      </w:pPr>
      <w:bookmarkStart w:id="0" w:name="_GoBack"/>
      <w:bookmarkEnd w:id="0"/>
      <w:r>
        <w:rPr>
          <w:rFonts w:ascii="Times New Roman" w:hAnsi="Times New Roman" w:eastAsia="黑体" w:cs="黑体"/>
          <w:sz w:val="30"/>
          <w:szCs w:val="30"/>
          <w:lang w:val="zh-CN"/>
        </w:rPr>
        <w:br w:type="page"/>
      </w:r>
    </w:p>
    <w:p w14:paraId="020438C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265BD917">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5E03E42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2285A33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158D75D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0D89A26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1B3ED82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7DEBA2E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7808DC6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124A1AB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2D63B17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15799B0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07FFF88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6CEB2ACA">
      <w:pPr>
        <w:autoSpaceDE w:val="0"/>
        <w:autoSpaceDN w:val="0"/>
        <w:adjustRightInd w:val="0"/>
        <w:spacing w:line="800" w:lineRule="exact"/>
        <w:jc w:val="left"/>
        <w:rPr>
          <w:rFonts w:hint="eastAsia" w:ascii="Times New Roman" w:hAnsi="Times New Roman" w:eastAsia="楷体" w:cs="楷体"/>
          <w:kern w:val="0"/>
          <w:sz w:val="30"/>
          <w:szCs w:val="30"/>
          <w:lang w:eastAsia="zh-CN"/>
        </w:rPr>
      </w:pPr>
      <w:r>
        <w:rPr>
          <w:rFonts w:hint="eastAsia" w:ascii="Times New Roman" w:hAnsi="Times New Roman" w:eastAsia="楷体" w:cs="楷体"/>
          <w:kern w:val="0"/>
          <w:sz w:val="30"/>
          <w:szCs w:val="30"/>
          <w:lang w:val="en-US" w:eastAsia="zh-CN"/>
        </w:rPr>
        <w:t xml:space="preserve"> </w:t>
      </w:r>
    </w:p>
    <w:p w14:paraId="2DACA8B9">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7FB10806">
      <w:pPr>
        <w:keepNext/>
        <w:keepLines/>
        <w:autoSpaceDE w:val="0"/>
        <w:autoSpaceDN w:val="0"/>
        <w:adjustRightInd w:val="0"/>
        <w:spacing w:line="600" w:lineRule="exact"/>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1.天津市交通教育培训中心2023年度财政拨款收入支出决算总表为空表。</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2.天津市交通教育培训中心2023年度一般公共预算财政拨款支出决算表。</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3.天津市交通教育培训中心2023年度一般公共预算财政拨款基本支出决算表为空表。</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4.天津市交通教育培训中心2023年度政府性基金预算财政拨款收入支出决算表为空表。</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5.天津市交通教育培训中心2023年度国有资本经营预算财政拨款收入支出决算表为空表。</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6.天津市交通教育培训中心2023年度财政拨款“三公”经费支出决算表为空表。</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7.天津市交通教育培训中心2023年度项目支出决算表为空表。</w:t>
      </w:r>
    </w:p>
    <w:p w14:paraId="4135DE01">
      <w:pPr>
        <w:widowControl/>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br w:type="page"/>
      </w:r>
    </w:p>
    <w:p w14:paraId="723F1977">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p>
    <w:p w14:paraId="6331C7F1">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4EB17A5B">
      <w:pPr>
        <w:autoSpaceDE w:val="0"/>
        <w:autoSpaceDN w:val="0"/>
        <w:adjustRightInd w:val="0"/>
        <w:spacing w:line="580" w:lineRule="exact"/>
        <w:ind w:firstLine="600"/>
        <w:jc w:val="left"/>
        <w:rPr>
          <w:rFonts w:ascii="Times New Roman" w:hAnsi="Times New Roman" w:eastAsia="黑体" w:cs="黑体"/>
          <w:sz w:val="30"/>
          <w:szCs w:val="30"/>
          <w:lang w:val="zh-CN"/>
        </w:rPr>
      </w:pPr>
    </w:p>
    <w:p w14:paraId="68DDA14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2DBEF2B2">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 w:cs="仿宋"/>
          <w:kern w:val="0"/>
          <w:sz w:val="30"/>
          <w:szCs w:val="30"/>
          <w:lang w:val="zh-CN"/>
        </w:rPr>
        <w:t>天津市交通教育培训中心</w:t>
      </w:r>
      <w:r>
        <w:rPr>
          <w:rFonts w:hint="eastAsia" w:ascii="Times New Roman" w:hAnsi="Times New Roman" w:eastAsia="仿宋" w:cs="Times New Roman"/>
          <w:kern w:val="0"/>
          <w:sz w:val="30"/>
          <w:szCs w:val="30"/>
          <w:lang w:val="zh-CN"/>
        </w:rPr>
        <w:t>2023</w:t>
      </w:r>
      <w:r>
        <w:rPr>
          <w:rFonts w:hint="eastAsia" w:ascii="Times New Roman" w:hAnsi="Times New Roman" w:eastAsia="仿宋_GB2312" w:cs="仿宋_GB2312"/>
          <w:kern w:val="0"/>
          <w:sz w:val="30"/>
          <w:szCs w:val="30"/>
          <w:lang w:val="zh-CN"/>
        </w:rPr>
        <w:t>年度收入、支出决算总计</w:t>
      </w:r>
      <w:r>
        <w:rPr>
          <w:rFonts w:hint="eastAsia" w:ascii="Times New Roman" w:hAnsi="Times New Roman" w:eastAsia="华文中宋"/>
          <w:sz w:val="30"/>
          <w:szCs w:val="30"/>
        </w:rPr>
        <w:t>4,490,670.51</w:t>
      </w:r>
      <w:r>
        <w:rPr>
          <w:rFonts w:hint="eastAsia" w:ascii="Times New Roman" w:hAnsi="Times New Roman" w:eastAsia="仿宋_GB2312" w:cs="仿宋_GB2312"/>
          <w:kern w:val="0"/>
          <w:sz w:val="30"/>
          <w:szCs w:val="30"/>
        </w:rPr>
        <w:t>元，与</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年度相比，收、支总计各</w:t>
      </w:r>
      <w:r>
        <w:rPr>
          <w:rFonts w:hint="eastAsia" w:ascii="Times New Roman" w:hAnsi="Times New Roman" w:eastAsia="仿宋_GB2312" w:cs="仿宋_GB2312"/>
          <w:sz w:val="30"/>
          <w:szCs w:val="30"/>
        </w:rPr>
        <w:t>增加334,368.31</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，增长8.04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：业务增多，收入增加，所需开支增加。</w:t>
      </w:r>
    </w:p>
    <w:p w14:paraId="3E1ED2C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5FB3931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天津市交通教育培训中心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4,316,737.95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年度相比增加160,435.75元，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：业务增多，收入增加。</w:t>
      </w:r>
    </w:p>
    <w:p w14:paraId="00B1AB7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3,192,781.22元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73.96%；</w:t>
      </w:r>
    </w:p>
    <w:p w14:paraId="01B64CA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1,123,956.73元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26.04%。</w:t>
      </w:r>
    </w:p>
    <w:p w14:paraId="08FA6B1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0E81BB72">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天津市交通教育培训中心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年度本年支出合计3,862,160.37元，与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年度相比减少650,751.96元，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业务增多，收入增加，所需开支增加。</w:t>
      </w:r>
    </w:p>
    <w:p w14:paraId="60882F3F">
      <w:pPr>
        <w:autoSpaceDE w:val="0"/>
        <w:autoSpaceDN w:val="0"/>
        <w:adjustRightInd w:val="0"/>
        <w:spacing w:line="58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3,862,160.37元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占100.0%</w:t>
      </w:r>
      <w:r>
        <w:rPr>
          <w:rFonts w:hint="eastAsia" w:ascii="Times New Roman" w:hAnsi="Times New Roman" w:eastAsia="仿宋_GB2312" w:cs="仿宋_GB2312"/>
          <w:sz w:val="30"/>
          <w:szCs w:val="30"/>
          <w:lang w:eastAsia="zh-CN"/>
        </w:rPr>
        <w:t>。</w:t>
      </w:r>
    </w:p>
    <w:p w14:paraId="13D74BF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01BB0E47">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天津市交通教育培训中心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年度相比，财政拨款收、支总计持平，</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本单位为自收自支单位，无财政拨款。</w:t>
      </w:r>
    </w:p>
    <w:p w14:paraId="70C07B9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72A96B06">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24AD6A2D">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天津市交通教育培训中心2023年度部门决算一般公共预算财政拨款支出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计0.00元，占本年支出合计的0.0%，与2022年度相比，一般公共预算财政拨款支出持平，</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：本单位为自收自支单位，无一般公共预算财政拨款。</w:t>
      </w:r>
    </w:p>
    <w:p w14:paraId="20CA2A7F">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667A5781">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w:t>
      </w:r>
    </w:p>
    <w:p w14:paraId="57414675">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0EE29BCC">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0.0%</w:t>
      </w:r>
      <w:r>
        <w:rPr>
          <w:rFonts w:hint="eastAsia" w:ascii="Times New Roman" w:hAnsi="Times New Roman" w:eastAsia="仿宋_GB2312" w:cs="仿宋_GB2312"/>
          <w:kern w:val="0"/>
          <w:sz w:val="30"/>
          <w:szCs w:val="30"/>
        </w:rPr>
        <w:t>。</w:t>
      </w:r>
    </w:p>
    <w:p w14:paraId="38D6EE4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16D3731B">
      <w:pPr>
        <w:autoSpaceDE w:val="0"/>
        <w:autoSpaceDN w:val="0"/>
        <w:adjustRightInd w:val="0"/>
        <w:spacing w:line="6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天津市交通教育培训中心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年度相比持平，</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本单位为自收自支单位，无一般公共预算财政拨款基本支出。</w:t>
      </w:r>
    </w:p>
    <w:p w14:paraId="0337896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687584C1">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天津市交通教育培训中心2023年度无政府性基金预算财政拨款收入、支出和结转结余。</w:t>
      </w:r>
      <w:r>
        <w:rPr>
          <w:rFonts w:hint="eastAsia" w:ascii="Times New Roman" w:hAnsi="Times New Roman" w:eastAsia="仿宋_GB2312" w:cs="仿宋_GB2312"/>
          <w:sz w:val="30"/>
          <w:szCs w:val="30"/>
        </w:rPr>
        <w:tab/>
      </w:r>
    </w:p>
    <w:p w14:paraId="3090ACD7">
      <w:pPr>
        <w:numPr>
          <w:ilvl w:val="0"/>
          <w:numId w:val="1"/>
        </w:numPr>
        <w:autoSpaceDE w:val="0"/>
        <w:autoSpaceDN w:val="0"/>
        <w:adjustRightInd w:val="0"/>
        <w:spacing w:line="600" w:lineRule="exact"/>
        <w:ind w:firstLine="600"/>
        <w:jc w:val="left"/>
        <w:rPr>
          <w:rFonts w:hint="eastAsia" w:ascii="Times New Roman" w:hAnsi="Times New Roman" w:eastAsia="黑体" w:cs="黑体"/>
          <w:b/>
          <w:bCs/>
          <w:kern w:val="0"/>
          <w:sz w:val="30"/>
          <w:szCs w:val="30"/>
        </w:rPr>
      </w:pPr>
      <w:r>
        <w:rPr>
          <w:rFonts w:hint="eastAsia" w:ascii="Times New Roman" w:hAnsi="Times New Roman" w:eastAsia="黑体" w:cs="黑体"/>
          <w:b/>
          <w:bCs/>
          <w:kern w:val="0"/>
          <w:sz w:val="30"/>
          <w:szCs w:val="30"/>
        </w:rPr>
        <w:t>国有资本经营预算财政拨款收支决算情况说明</w:t>
      </w:r>
    </w:p>
    <w:p w14:paraId="404AD0F4">
      <w:pPr>
        <w:numPr>
          <w:numId w:val="0"/>
        </w:num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天津市交通教育培训中心2023年度无国有资本经营预算财政拨款收入、支出和结转结余。</w:t>
      </w:r>
    </w:p>
    <w:p w14:paraId="4236C16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67A60B2B">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40E7FC12">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本年度与上年度未用财政拨款经费列支“三公”经费。</w:t>
      </w:r>
    </w:p>
    <w:p w14:paraId="330E4F33">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616B585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本年度与上年度均未用财政拨款经费列支因公出国（境）费。</w:t>
      </w:r>
    </w:p>
    <w:p w14:paraId="6393778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8E3F11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本年度与上年度均未用财政拨款经费列支公务用车购置及运行维护费。</w:t>
      </w:r>
      <w:r>
        <w:rPr>
          <w:rFonts w:hint="eastAsia" w:ascii="Times New Roman" w:hAnsi="Times New Roman" w:eastAsia="仿宋_GB2312" w:cs="仿宋_GB2312"/>
          <w:kern w:val="0"/>
          <w:sz w:val="30"/>
          <w:szCs w:val="30"/>
          <w:highlight w:val="none"/>
        </w:rPr>
        <w:t>其中：</w:t>
      </w:r>
    </w:p>
    <w:p w14:paraId="69E5B63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本年度与上年度均未用财政拨款经费列支公务用车运行维护费。</w:t>
      </w:r>
    </w:p>
    <w:p w14:paraId="1057311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277D930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本年度与上年度均未用财政拨款经费列支公务用车购置费。</w:t>
      </w:r>
    </w:p>
    <w:p w14:paraId="27FFCC7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40487F91">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本年度与上年度均未用财政拨款经费列支公务接待费。</w:t>
      </w:r>
    </w:p>
    <w:p w14:paraId="6F4F0C9B">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789274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41818902">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天津市交通教育培训中心2023年度无机关运行经费。</w:t>
      </w:r>
    </w:p>
    <w:p w14:paraId="589648D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5C8A9FE7">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天津市交通教育培训中心2023年度无政府采购支出。</w:t>
      </w:r>
    </w:p>
    <w:p w14:paraId="53ED405E">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6AE248DA">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日，天津市交通教育培训中心共有车辆</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公务用车。</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68DC3345">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70022C3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天津市交通教育培训中心2023年度没有项目支出，无需开展绩效自评。</w:t>
      </w:r>
    </w:p>
    <w:p w14:paraId="4E2869DB">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5E45F25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天津市交通教育培训中心不属于乡、镇、街级单位，不涉及公开2023年度教育、医疗卫生、社会保障和就业、住房保障、涉农补贴等民生支出情况。</w:t>
      </w:r>
    </w:p>
    <w:p w14:paraId="530210FF">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7224DBB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w:t>
      </w:r>
      <w:r>
        <w:rPr>
          <w:rFonts w:hint="eastAsia" w:ascii="Times New Roman" w:hAnsi="Times New Roman" w:eastAsia="方正小标宋简体" w:cs="方正小标宋简体"/>
          <w:kern w:val="44"/>
          <w:sz w:val="44"/>
          <w:szCs w:val="44"/>
          <w:lang w:val="en-US" w:eastAsia="zh-CN"/>
        </w:rPr>
        <w:t xml:space="preserve">  </w:t>
      </w:r>
      <w:r>
        <w:rPr>
          <w:rFonts w:hint="eastAsia" w:ascii="Times New Roman" w:hAnsi="Times New Roman" w:eastAsia="方正小标宋简体" w:cs="方正小标宋简体"/>
          <w:kern w:val="44"/>
          <w:sz w:val="44"/>
          <w:szCs w:val="44"/>
        </w:rPr>
        <w:t>名词解释</w:t>
      </w:r>
    </w:p>
    <w:p w14:paraId="56E584C2">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4EF4F74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1BEBA9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2CAFE5A">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BE26A">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14:paraId="674C0711">
                <w:pPr>
                  <w:pStyle w:val="5"/>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78D37"/>
    <w:multiLevelType w:val="singleLevel"/>
    <w:tmpl w:val="7E978D3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lZWUwNDYyOThkZGYyM2RhOTk2NWM1OGYyOWY4NzAifQ=="/>
  </w:docVars>
  <w:rsids>
    <w:rsidRoot w:val="006A094D"/>
    <w:rsid w:val="00013A12"/>
    <w:rsid w:val="0002687D"/>
    <w:rsid w:val="00047C6F"/>
    <w:rsid w:val="000528EE"/>
    <w:rsid w:val="000719FD"/>
    <w:rsid w:val="000B5C71"/>
    <w:rsid w:val="000C2D5D"/>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3439A"/>
    <w:rsid w:val="004A482F"/>
    <w:rsid w:val="004F39BF"/>
    <w:rsid w:val="005062D7"/>
    <w:rsid w:val="005175E6"/>
    <w:rsid w:val="00525157"/>
    <w:rsid w:val="005349A2"/>
    <w:rsid w:val="00575537"/>
    <w:rsid w:val="00594E03"/>
    <w:rsid w:val="005D1367"/>
    <w:rsid w:val="005D3F56"/>
    <w:rsid w:val="00654D17"/>
    <w:rsid w:val="006623EC"/>
    <w:rsid w:val="006A094D"/>
    <w:rsid w:val="006D2409"/>
    <w:rsid w:val="006E65DB"/>
    <w:rsid w:val="00776FF3"/>
    <w:rsid w:val="0078156E"/>
    <w:rsid w:val="00786E74"/>
    <w:rsid w:val="007D1285"/>
    <w:rsid w:val="007D30E1"/>
    <w:rsid w:val="007E49E1"/>
    <w:rsid w:val="007F1654"/>
    <w:rsid w:val="007F6DA7"/>
    <w:rsid w:val="008174D5"/>
    <w:rsid w:val="00885126"/>
    <w:rsid w:val="0089698B"/>
    <w:rsid w:val="008D48A9"/>
    <w:rsid w:val="00941A30"/>
    <w:rsid w:val="00977DCC"/>
    <w:rsid w:val="009820CF"/>
    <w:rsid w:val="00982A8B"/>
    <w:rsid w:val="009A7ED3"/>
    <w:rsid w:val="009D74D7"/>
    <w:rsid w:val="00A57AE7"/>
    <w:rsid w:val="00AF71AE"/>
    <w:rsid w:val="00B043C4"/>
    <w:rsid w:val="00B33C70"/>
    <w:rsid w:val="00B75228"/>
    <w:rsid w:val="00B811F1"/>
    <w:rsid w:val="00B81B9F"/>
    <w:rsid w:val="00BC763A"/>
    <w:rsid w:val="00BC7D6F"/>
    <w:rsid w:val="00BD3CAC"/>
    <w:rsid w:val="00BF697A"/>
    <w:rsid w:val="00C52E77"/>
    <w:rsid w:val="00C65A44"/>
    <w:rsid w:val="00C76AC3"/>
    <w:rsid w:val="00C83EB4"/>
    <w:rsid w:val="00D237DF"/>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E762C1"/>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1DD4E2F"/>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xitongcheng</Company>
  <Pages>12</Pages>
  <Words>4539</Words>
  <Characters>5117</Characters>
  <Lines>37</Lines>
  <Paragraphs>10</Paragraphs>
  <TotalTime>1</TotalTime>
  <ScaleCrop>false</ScaleCrop>
  <LinksUpToDate>false</LinksUpToDate>
  <CharactersWithSpaces>5176</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2024-08-05T08:31:57Z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A44E0A178634409BBBA50D5636087390_13</vt:lpwstr>
  </property>
</Properties>
</file>